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 Filed Pursuant to Rule 424(b)(3)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 Registration No 333-296498</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142875</wp:posOffset>
            </wp:positionV>
            <wp:extent cx="246888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 to Purchase Common Stock or Preferred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7"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offer from time to time securities described in this prospectus separately or together in any combination. We may offer and sell such securities in one or more offerings with a total aggregate principal amount or initial purchase price not to exceed $100,000,000. These securities may be convertible into or exchangeable for our other securities. This prospectus provides a general description of these securities. We will provide you with specific information about the offering and terms of these securities in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18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or sell securities unless accompanied by a prospectus supplement.</w:t>
      </w:r>
    </w:p>
    <w:p>
      <w:pPr>
        <w:spacing w:after="0" w:line="229"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offer and sell these securities on a continuous or delayed basis, at prices and on terms to be determined at the time of any particular offering, directly to purchasers, through agents, dealers or underwriters as designated from time to time, or through a combination of these methods. See “Plan of Distribution.” The prospectus supplement for each offering will describe in detail the plan of distribution for that offering and will set forth the names of underwriters, dealers or agents, if any, involved in the offering and any applicable discounts or commissions payable to them. Net proceeds from the sale of the securities also will be set forth in the applicable prospectus supplement.</w:t>
      </w:r>
    </w:p>
    <w:p>
      <w:pPr>
        <w:spacing w:after="0" w:line="183"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Unless otherwise stated in a prospectus supplement, none of these securities will be listed on any securities exchange. Our common stock is listed on The NASDAQ Capital Market under the symbol “CREX.” The last reported per share price for our common stock was $3.75, as quoted on The NASDAQ Capital Market on June 2, 2026. As of June 2, 2026, the aggregate market value of our outstanding common stock held by non-affiliates (our “public float”) was $37,035,398. Pursuant to General Instruction I.B.6 of Form S-3, in no event will we sell securities in a public primary offering in reliance on such General Instruction with a value exceeding one-third of our public float during any 12-month period.</w:t>
      </w:r>
    </w:p>
    <w:p>
      <w:pPr>
        <w:spacing w:after="0" w:line="179"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high degree of risk. You should review carefully the risks and uncertainties described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contained in the applicable prospectus supplement and any related free writing prospectus, and under similar headings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other documents that are incorporated by reference into this prospectus.</w:t>
      </w:r>
    </w:p>
    <w:p>
      <w:pPr>
        <w:spacing w:after="0" w:line="171" w:lineRule="exact"/>
        <w:rPr>
          <w:sz w:val="24"/>
          <w:szCs w:val="24"/>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5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453"/>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8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9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280" w:type="dxa"/>
            <w:vAlign w:val="bottom"/>
          </w:tcPr>
          <w:p>
            <w:pPr>
              <w:spacing w:after="0"/>
              <w:rPr>
                <w:sz w:val="24"/>
                <w:szCs w:val="24"/>
                <w:color w:val="auto"/>
              </w:rPr>
            </w:pPr>
          </w:p>
        </w:tc>
      </w:tr>
      <w:tr>
        <w:trPr>
          <w:trHeight w:val="196"/>
        </w:trPr>
        <w:tc>
          <w:tcPr>
            <w:tcW w:w="45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w:t>
            </w:r>
          </w:p>
        </w:tc>
        <w:tc>
          <w:tcPr>
            <w:tcW w:w="6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3"/>
          </w:tcPr>
          <w:p>
            <w:pPr>
              <w:jc w:val="center"/>
              <w:ind w:right="420"/>
              <w:spacing w:after="0" w:line="196" w:lineRule="exact"/>
              <w:rPr>
                <w:sz w:val="20"/>
                <w:szCs w:val="20"/>
                <w:color w:val="auto"/>
              </w:rPr>
            </w:pPr>
            <w:r>
              <w:rPr>
                <w:rFonts w:ascii="Times New Roman" w:cs="Times New Roman" w:eastAsia="Times New Roman" w:hAnsi="Times New Roman"/>
                <w:sz w:val="18"/>
                <w:szCs w:val="18"/>
                <w:u w:val="single" w:color="auto"/>
                <w:color w:val="0000EE"/>
              </w:rPr>
              <w:t>i</w:t>
            </w:r>
          </w:p>
        </w:tc>
      </w:tr>
      <w:tr>
        <w:trPr>
          <w:trHeight w:val="196"/>
        </w:trPr>
        <w:tc>
          <w:tcPr>
            <w:tcW w:w="10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The Company</w:t>
            </w:r>
          </w:p>
        </w:tc>
        <w:tc>
          <w:tcPr>
            <w:tcW w:w="540" w:type="dxa"/>
            <w:vAlign w:val="bottom"/>
            <w:tcBorders>
              <w:top w:val="single" w:sz="8" w:color="0000EE"/>
            </w:tcBorders>
            <w:gridSpan w:val="4"/>
          </w:tcPr>
          <w:p>
            <w:pPr>
              <w:spacing w:after="0"/>
              <w:rPr>
                <w:sz w:val="17"/>
                <w:szCs w:val="17"/>
                <w:color w:val="auto"/>
              </w:rPr>
            </w:pPr>
          </w:p>
        </w:tc>
        <w:tc>
          <w:tcPr>
            <w:tcW w:w="2980" w:type="dxa"/>
            <w:vAlign w:val="bottom"/>
            <w:gridSpan w:val="7"/>
          </w:tcPr>
          <w:p>
            <w:pPr>
              <w:spacing w:after="0"/>
              <w:rPr>
                <w:sz w:val="17"/>
                <w:szCs w:val="17"/>
                <w:color w:val="auto"/>
              </w:rPr>
            </w:pPr>
          </w:p>
        </w:tc>
        <w:tc>
          <w:tcPr>
            <w:tcW w:w="616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9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3640" w:type="dxa"/>
            <w:vAlign w:val="bottom"/>
            <w:gridSpan w:val="13"/>
          </w:tcPr>
          <w:p>
            <w:pPr>
              <w:spacing w:after="0"/>
              <w:rPr>
                <w:sz w:val="17"/>
                <w:szCs w:val="17"/>
                <w:color w:val="auto"/>
              </w:rPr>
            </w:pPr>
          </w:p>
        </w:tc>
        <w:tc>
          <w:tcPr>
            <w:tcW w:w="616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41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Cautionary Note Regarding Forward-Looking Statements</w:t>
            </w:r>
          </w:p>
        </w:tc>
        <w:tc>
          <w:tcPr>
            <w:tcW w:w="400" w:type="dxa"/>
            <w:vAlign w:val="bottom"/>
          </w:tcPr>
          <w:p>
            <w:pPr>
              <w:spacing w:after="0"/>
              <w:rPr>
                <w:sz w:val="17"/>
                <w:szCs w:val="17"/>
                <w:color w:val="auto"/>
              </w:rPr>
            </w:pPr>
          </w:p>
        </w:tc>
        <w:tc>
          <w:tcPr>
            <w:tcW w:w="616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11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380" w:type="dxa"/>
            <w:vAlign w:val="bottom"/>
            <w:gridSpan w:val="10"/>
          </w:tcPr>
          <w:p>
            <w:pPr>
              <w:spacing w:after="0"/>
              <w:rPr>
                <w:sz w:val="17"/>
                <w:szCs w:val="17"/>
                <w:color w:val="auto"/>
              </w:rPr>
            </w:pPr>
          </w:p>
        </w:tc>
        <w:tc>
          <w:tcPr>
            <w:tcW w:w="616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45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Dilution</w:t>
            </w:r>
          </w:p>
        </w:tc>
        <w:tc>
          <w:tcPr>
            <w:tcW w:w="6260" w:type="dxa"/>
            <w:vAlign w:val="bottom"/>
            <w:gridSpan w:val="3"/>
          </w:tcPr>
          <w:p>
            <w:pPr>
              <w:jc w:val="center"/>
              <w:ind w:left="6070"/>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5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260" w:type="dxa"/>
            <w:vAlign w:val="bottom"/>
            <w:gridSpan w:val="3"/>
          </w:tcPr>
          <w:p>
            <w:pPr>
              <w:jc w:val="center"/>
              <w:ind w:left="6070"/>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2360" w:type="dxa"/>
            <w:vAlign w:val="bottom"/>
            <w:gridSpan w:val="4"/>
          </w:tcPr>
          <w:p>
            <w:pPr>
              <w:spacing w:after="0"/>
              <w:rPr>
                <w:sz w:val="17"/>
                <w:szCs w:val="17"/>
                <w:color w:val="auto"/>
              </w:rPr>
            </w:pPr>
          </w:p>
        </w:tc>
        <w:tc>
          <w:tcPr>
            <w:tcW w:w="6400" w:type="dxa"/>
            <w:vAlign w:val="bottom"/>
            <w:gridSpan w:val="4"/>
          </w:tcPr>
          <w:p>
            <w:pPr>
              <w:jc w:val="center"/>
              <w:ind w:left="5930"/>
              <w:spacing w:after="0" w:line="196" w:lineRule="exact"/>
              <w:rPr>
                <w:sz w:val="20"/>
                <w:szCs w:val="20"/>
                <w:color w:val="auto"/>
              </w:rPr>
            </w:pPr>
            <w:r>
              <w:rPr>
                <w:rFonts w:ascii="Times New Roman" w:cs="Times New Roman" w:eastAsia="Times New Roman" w:hAnsi="Times New Roman"/>
                <w:sz w:val="18"/>
                <w:szCs w:val="18"/>
                <w:color w:val="0000EE"/>
                <w:w w:val="99"/>
              </w:rPr>
              <w:t>10</w:t>
            </w:r>
          </w:p>
        </w:tc>
        <w:tc>
          <w:tcPr>
            <w:tcW w:w="28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7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460" w:type="dxa"/>
            <w:vAlign w:val="bottom"/>
            <w:gridSpan w:val="2"/>
          </w:tcPr>
          <w:p>
            <w:pPr>
              <w:spacing w:after="0"/>
              <w:rPr>
                <w:sz w:val="17"/>
                <w:szCs w:val="17"/>
                <w:color w:val="auto"/>
              </w:rPr>
            </w:pPr>
          </w:p>
        </w:tc>
        <w:tc>
          <w:tcPr>
            <w:tcW w:w="2360" w:type="dxa"/>
            <w:vAlign w:val="bottom"/>
            <w:gridSpan w:val="4"/>
          </w:tcPr>
          <w:p>
            <w:pPr>
              <w:spacing w:after="0"/>
              <w:rPr>
                <w:sz w:val="17"/>
                <w:szCs w:val="17"/>
                <w:color w:val="auto"/>
              </w:rPr>
            </w:pPr>
          </w:p>
        </w:tc>
        <w:tc>
          <w:tcPr>
            <w:tcW w:w="6400" w:type="dxa"/>
            <w:vAlign w:val="bottom"/>
            <w:gridSpan w:val="4"/>
          </w:tcPr>
          <w:p>
            <w:pPr>
              <w:jc w:val="center"/>
              <w:ind w:left="5930"/>
              <w:spacing w:after="0" w:line="196" w:lineRule="exact"/>
              <w:rPr>
                <w:sz w:val="20"/>
                <w:szCs w:val="20"/>
                <w:color w:val="auto"/>
              </w:rPr>
            </w:pPr>
            <w:r>
              <w:rPr>
                <w:rFonts w:ascii="Times New Roman" w:cs="Times New Roman" w:eastAsia="Times New Roman" w:hAnsi="Times New Roman"/>
                <w:sz w:val="18"/>
                <w:szCs w:val="18"/>
                <w:color w:val="0000EE"/>
                <w:w w:val="99"/>
              </w:rPr>
              <w:t>16</w:t>
            </w:r>
          </w:p>
        </w:tc>
        <w:tc>
          <w:tcPr>
            <w:tcW w:w="28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1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300" w:type="dxa"/>
            <w:vAlign w:val="bottom"/>
            <w:gridSpan w:val="2"/>
          </w:tcPr>
          <w:p>
            <w:pPr>
              <w:spacing w:after="0"/>
              <w:rPr>
                <w:sz w:val="17"/>
                <w:szCs w:val="17"/>
                <w:color w:val="auto"/>
              </w:rPr>
            </w:pPr>
          </w:p>
        </w:tc>
        <w:tc>
          <w:tcPr>
            <w:tcW w:w="2820" w:type="dxa"/>
            <w:vAlign w:val="bottom"/>
            <w:gridSpan w:val="6"/>
          </w:tcPr>
          <w:p>
            <w:pPr>
              <w:spacing w:after="0"/>
              <w:rPr>
                <w:sz w:val="17"/>
                <w:szCs w:val="17"/>
                <w:color w:val="auto"/>
              </w:rPr>
            </w:pPr>
          </w:p>
        </w:tc>
        <w:tc>
          <w:tcPr>
            <w:tcW w:w="6400" w:type="dxa"/>
            <w:vAlign w:val="bottom"/>
            <w:gridSpan w:val="4"/>
          </w:tcPr>
          <w:p>
            <w:pPr>
              <w:jc w:val="center"/>
              <w:ind w:left="5930"/>
              <w:spacing w:after="0" w:line="196" w:lineRule="exact"/>
              <w:rPr>
                <w:sz w:val="20"/>
                <w:szCs w:val="20"/>
                <w:color w:val="auto"/>
              </w:rPr>
            </w:pPr>
            <w:r>
              <w:rPr>
                <w:rFonts w:ascii="Times New Roman" w:cs="Times New Roman" w:eastAsia="Times New Roman" w:hAnsi="Times New Roman"/>
                <w:sz w:val="18"/>
                <w:szCs w:val="18"/>
                <w:color w:val="0000EE"/>
                <w:w w:val="99"/>
              </w:rPr>
              <w:t>18</w:t>
            </w:r>
          </w:p>
        </w:tc>
        <w:tc>
          <w:tcPr>
            <w:tcW w:w="28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1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Matters</w:t>
            </w:r>
          </w:p>
        </w:tc>
        <w:tc>
          <w:tcPr>
            <w:tcW w:w="420" w:type="dxa"/>
            <w:vAlign w:val="bottom"/>
            <w:gridSpan w:val="4"/>
          </w:tcPr>
          <w:p>
            <w:pPr>
              <w:spacing w:after="0"/>
              <w:rPr>
                <w:sz w:val="17"/>
                <w:szCs w:val="17"/>
                <w:color w:val="auto"/>
              </w:rPr>
            </w:pPr>
          </w:p>
        </w:tc>
        <w:tc>
          <w:tcPr>
            <w:tcW w:w="3120" w:type="dxa"/>
            <w:vAlign w:val="bottom"/>
            <w:gridSpan w:val="8"/>
          </w:tcPr>
          <w:p>
            <w:pPr>
              <w:spacing w:after="0"/>
              <w:rPr>
                <w:sz w:val="17"/>
                <w:szCs w:val="17"/>
                <w:color w:val="auto"/>
              </w:rPr>
            </w:pPr>
          </w:p>
        </w:tc>
        <w:tc>
          <w:tcPr>
            <w:tcW w:w="6400" w:type="dxa"/>
            <w:vAlign w:val="bottom"/>
            <w:gridSpan w:val="4"/>
          </w:tcPr>
          <w:p>
            <w:pPr>
              <w:jc w:val="center"/>
              <w:ind w:left="5930"/>
              <w:spacing w:after="0" w:line="196" w:lineRule="exact"/>
              <w:rPr>
                <w:sz w:val="20"/>
                <w:szCs w:val="20"/>
                <w:color w:val="auto"/>
              </w:rPr>
            </w:pPr>
            <w:r>
              <w:rPr>
                <w:rFonts w:ascii="Times New Roman" w:cs="Times New Roman" w:eastAsia="Times New Roman" w:hAnsi="Times New Roman"/>
                <w:sz w:val="18"/>
                <w:szCs w:val="18"/>
                <w:color w:val="0000EE"/>
                <w:w w:val="99"/>
              </w:rPr>
              <w:t>19</w:t>
            </w:r>
          </w:p>
        </w:tc>
        <w:tc>
          <w:tcPr>
            <w:tcW w:w="28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4"/>
              </w:rPr>
              <w:t>Experts</w:t>
            </w:r>
          </w:p>
        </w:tc>
        <w:tc>
          <w:tcPr>
            <w:tcW w:w="460" w:type="dxa"/>
            <w:vAlign w:val="bottom"/>
            <w:gridSpan w:val="2"/>
          </w:tcPr>
          <w:p>
            <w:pPr>
              <w:spacing w:after="0"/>
              <w:rPr>
                <w:sz w:val="17"/>
                <w:szCs w:val="17"/>
                <w:color w:val="auto"/>
              </w:rPr>
            </w:pPr>
          </w:p>
        </w:tc>
        <w:tc>
          <w:tcPr>
            <w:tcW w:w="3540" w:type="dxa"/>
            <w:vAlign w:val="bottom"/>
            <w:gridSpan w:val="12"/>
          </w:tcPr>
          <w:p>
            <w:pPr>
              <w:spacing w:after="0"/>
              <w:rPr>
                <w:sz w:val="17"/>
                <w:szCs w:val="17"/>
                <w:color w:val="auto"/>
              </w:rPr>
            </w:pPr>
          </w:p>
        </w:tc>
        <w:tc>
          <w:tcPr>
            <w:tcW w:w="6400" w:type="dxa"/>
            <w:vAlign w:val="bottom"/>
            <w:gridSpan w:val="4"/>
          </w:tcPr>
          <w:p>
            <w:pPr>
              <w:jc w:val="center"/>
              <w:ind w:left="5930"/>
              <w:spacing w:after="0" w:line="196" w:lineRule="exact"/>
              <w:rPr>
                <w:sz w:val="20"/>
                <w:szCs w:val="20"/>
                <w:color w:val="auto"/>
              </w:rPr>
            </w:pPr>
            <w:r>
              <w:rPr>
                <w:rFonts w:ascii="Times New Roman" w:cs="Times New Roman" w:eastAsia="Times New Roman" w:hAnsi="Times New Roman"/>
                <w:sz w:val="18"/>
                <w:szCs w:val="18"/>
                <w:color w:val="0000EE"/>
                <w:w w:val="99"/>
              </w:rPr>
              <w:t>19</w:t>
            </w:r>
          </w:p>
        </w:tc>
        <w:tc>
          <w:tcPr>
            <w:tcW w:w="28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8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1680" w:type="dxa"/>
            <w:vAlign w:val="bottom"/>
            <w:gridSpan w:val="3"/>
          </w:tcPr>
          <w:p>
            <w:pPr>
              <w:spacing w:after="0"/>
              <w:rPr>
                <w:sz w:val="17"/>
                <w:szCs w:val="17"/>
                <w:color w:val="auto"/>
              </w:rPr>
            </w:pPr>
          </w:p>
        </w:tc>
        <w:tc>
          <w:tcPr>
            <w:tcW w:w="6400" w:type="dxa"/>
            <w:vAlign w:val="bottom"/>
            <w:gridSpan w:val="4"/>
          </w:tcPr>
          <w:p>
            <w:pPr>
              <w:jc w:val="center"/>
              <w:ind w:left="5930"/>
              <w:spacing w:after="0" w:line="196" w:lineRule="exact"/>
              <w:rPr>
                <w:sz w:val="20"/>
                <w:szCs w:val="20"/>
                <w:color w:val="auto"/>
              </w:rPr>
            </w:pPr>
            <w:r>
              <w:rPr>
                <w:rFonts w:ascii="Times New Roman" w:cs="Times New Roman" w:eastAsia="Times New Roman" w:hAnsi="Times New Roman"/>
                <w:sz w:val="18"/>
                <w:szCs w:val="18"/>
                <w:color w:val="0000EE"/>
                <w:w w:val="99"/>
              </w:rPr>
              <w:t>19</w:t>
            </w:r>
          </w:p>
        </w:tc>
        <w:tc>
          <w:tcPr>
            <w:tcW w:w="280" w:type="dxa"/>
            <w:vAlign w:val="bottom"/>
          </w:tcPr>
          <w:p>
            <w:pPr>
              <w:spacing w:after="0"/>
              <w:rPr>
                <w:sz w:val="17"/>
                <w:szCs w:val="17"/>
                <w:color w:val="auto"/>
              </w:rPr>
            </w:pPr>
          </w:p>
        </w:tc>
      </w:tr>
      <w:tr>
        <w:trPr>
          <w:trHeight w:val="20"/>
        </w:trPr>
        <w:tc>
          <w:tcPr>
            <w:tcW w:w="2880" w:type="dxa"/>
            <w:vAlign w:val="bottom"/>
            <w:gridSpan w:val="1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1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5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Important Information Incorporated by Reference</w:t>
            </w:r>
          </w:p>
        </w:tc>
        <w:tc>
          <w:tcPr>
            <w:tcW w:w="6400" w:type="dxa"/>
            <w:vAlign w:val="bottom"/>
            <w:gridSpan w:val="4"/>
          </w:tcPr>
          <w:p>
            <w:pPr>
              <w:jc w:val="center"/>
              <w:ind w:left="5930"/>
              <w:spacing w:after="0" w:line="196" w:lineRule="exact"/>
              <w:rPr>
                <w:sz w:val="20"/>
                <w:szCs w:val="20"/>
                <w:color w:val="auto"/>
              </w:rPr>
            </w:pPr>
            <w:r>
              <w:rPr>
                <w:rFonts w:ascii="Times New Roman" w:cs="Times New Roman" w:eastAsia="Times New Roman" w:hAnsi="Times New Roman"/>
                <w:sz w:val="18"/>
                <w:szCs w:val="18"/>
                <w:color w:val="0000EE"/>
                <w:w w:val="99"/>
              </w:rPr>
              <w:t>20</w:t>
            </w:r>
          </w:p>
        </w:tc>
        <w:tc>
          <w:tcPr>
            <w:tcW w:w="280" w:type="dxa"/>
            <w:vAlign w:val="bottom"/>
          </w:tcPr>
          <w:p>
            <w:pPr>
              <w:spacing w:after="0"/>
              <w:rPr>
                <w:sz w:val="17"/>
                <w:szCs w:val="17"/>
                <w:color w:val="auto"/>
              </w:rPr>
            </w:pPr>
          </w:p>
        </w:tc>
      </w:tr>
      <w:tr>
        <w:trPr>
          <w:trHeight w:val="595"/>
        </w:trPr>
        <w:tc>
          <w:tcPr>
            <w:tcW w:w="5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This prospectus is part of a registration statement that we filed with the Securities and Exchange Commission, or the Commission, using a “shelf” registration process. Under this shelf registration process, from time to time, we may sell any combination of the securities described in this prospectus in one or more offerings. This prospectus provides you with a general description of the securities we may offer. Each time we offer and sell securities under this prospectus, we will provide a prospectus supplement that will contain more specific information about the terms of the applicable offering. The prospectus supplement may include a discussion of risks or other special considerations applicable to us or the offered securities.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the information contained in this prospectus or in the documents incorporated by reference into this prospectus. If there is any inconsistency between the information in this prospectus and the applicable prospectus supplement, you must rely on the information in the prospectus supplement. We urge you to carefully read this prospectus, any applicable prospectus supplement and any related free writing prospectus, together with the information incorporated herein by reference as described under the headings “Where You Can Find More Information” and “Incorporation of Information by Reference” before buying any of the securities being offered. </w:t>
      </w:r>
      <w:r>
        <w:rPr>
          <w:rFonts w:ascii="Times New Roman" w:cs="Times New Roman" w:eastAsia="Times New Roman" w:hAnsi="Times New Roman"/>
          <w:sz w:val="18"/>
          <w:szCs w:val="18"/>
          <w:b w:val="1"/>
          <w:bCs w:val="1"/>
          <w:color w:val="auto"/>
        </w:rPr>
        <w:t>THIS PROSPECTUS MAY NOT BE USED TO CONSUMMATE A SALE OF SECURITIES UNLESS IT IS ACCOMPANIED BY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 SUPPLEMENT.</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or any applicable prospectus supplement, along with the information contained in any related free writing prospectus that we have authorized for use in connection with a specific offering. We have not authorized anyone to provide you with different information. No dealer, salesperson or other person is authorized to give any information or to represent anything not contained in this prospectus, any applicable prospectus supplement or any related free writing prospectus that we may authorize to be provided to you. You must not rely on any unauthorized information or representation. The information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or unless otherwise indicated, all references to “Creative Realities,” the “Company,” “we,” “our,” or “us” refer collectively to Creative Realities, Inc.</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prospectus does not constitute, and any prospectus supplement or other offering materials related to an offering of securities described in this prospectus will not constitute, an offer to sell, or a solicitation of an offer to purchase, the offered securities in any jurisdiction to or from any person to whom or from whom it is unlawful to make such offer or solicitation in such jurisdiction.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Creative Realities, Inc. (“Creative Realities,” the “Company,” “we,” “us,” “our,” and similar expressions) transforms environments through digital solutions by providing innovative digital signage solutions for key market segments and use cases, including:</w:t>
      </w:r>
    </w:p>
    <w:p>
      <w:pPr>
        <w:spacing w:after="0" w:line="162"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and Sports Venues;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Restaurants, including Quick Service Restaurants (“QSR”);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Stores;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Lottery;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Use Developments;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out of Home (“DOOH”) Advertising Networks</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spacing w:after="0" w:line="17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brand awareness;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customer support;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employee productivity and satisfaction;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 and profitability;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guest experience;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customer/guest engagement;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Traffic content and advertising</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Through a combination of organically grown platforms and a series of strategic acquisitions, the Company assists customers to design, deploy, manage, and monetize their digital signage and in-store retail media networks. The Company sources leads and opportunities for its solutions through its digital and content marketing initiatives, close relationships with key industry partners, including equipment manufacturers and a media sales agent, and the direct efforts of its in-house industry sales experts. Customer engagements focus on consultative conversations that ensure the Company’s solutions are positioned to help customers achieve their business objectives in the most cost-effective manner possible.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Organization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principal offices are located at 13100 Magisterial Drive, Suite 201, Louisville, Kentucky 40223, and our telephone number at that office is (502) 791-8800.</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originally incorporated and organized as a Minnesota corporation under the name “Wireless Ronin Technologies, Inc.” in March 2003 and focused on our expertise in digital media marketing solutions, including digital signage, interactive kiosks, mobile, social media and web-based media solutions. We acquired the interactive marketing technology business that we currently operate in a 2014 merger with Creative Realities, LLC. Shortly after that merger, we changed our corporate name from “Wireless Ronin Technologies, Inc.” to “Creative Realities, Inc.” On October 15, 2015, we acquired the systems integration and marketing technology business of ConeXus World Global, LLC. On November 20, 2018, we acquired Allure, an enterprise software development company. On February 17, 2022, we acquired Reflect Systems, Inc. On November 7, 2025, we acquired DDC Group International, Inc., a wholly owned subsidiary of Cineplex Entertainment Limited Partnership (“DDC”). DDC was the parent company of its wholly owned subsidiary, Cineplex Digital Media Inc. (“CDM”) and CDM’s wholly owned subsidiary, Cineplex Digital Media U.S. Inc. (“CDMUS”), which we collectively refer to as the “CDM Business.”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purchase any of the securities being offered, you should carefully review the risks and uncertainties described under the heading “Risk Factors” contained in the applicable prospectus supplement and any related free writing prospectus, and under similar headings in the other documents that are incorporated by reference into this prospectus and the applicable prospectus supplement. Each of the risk factors could adversely affect our business, operating results and financial condition, as well as adversely affect the value of an investment in our securities, and the occurrence of any of these risks might cause you to lose all or part of your investment. Moreover, the risks described are not the only ones that we face. Additional risks not presently known to us or that we currently believe are immaterial may also significantly impair our business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and any prospectus supplement or free writing prospectus may contain, forward-looking statements within the meaning of Section 27A of the Securities Act of 1933, as amended, or the Securities Act, and Section 21E of the Securities Exchange Act of 1934, as amended, or the Exchange Act. All statements other than statements of historical facts contained in this prospectus and the documents incorporated by reference herein contain, and any prospectus supplement or free writing prospectus, are forward-looking statements. These statements relate to future events or to our future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funds for future operations;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expenses, revenue and profitability;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affecting financial condition and results of operations;</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convert proposals and pilot projects into customer orders, including our ability to realize the revenues included in our future guidance and backlog reports;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outlook;</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customers to pay for products and services received;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satisfy our upcoming debt obligations and other liabilities;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changing customer requirements upon revenue recognition;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cancellations;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additional capital;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continue as a going concern;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 and the competitive environment;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Company’s financial condition upon customer and prospective customer relationships;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and regulatory actions directed toward our industry in general;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influence of our shareholder(s) with the greatest beneficial ownership of our common stock;</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certain key personnel in the management of our businesses;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management turnover;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material weaknesses in internal controls over financial reporting;</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integrate the operations of acquired companies;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remain listed on the Nasdaq Capital Market.</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“intend,” “could,” “would,” “expects,” “plans,” “anticipates,” “believes,” “estimates,” “projects,” “predicts,” “potential,” “propose,” and similar expressions (or the negative versions of such words or expressions) intended to identify forward-looking statements.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under the heading “Risk Factors” in the applicable prospectus supplement or free writing prospectus and in our reports filed from time to time under the Securities Act and/or the Exchange Act. We encourage you to read these filings as they are made. Also, these forward-looking statements represent our estimates and assumptions only as of the date of the document containing the applicable statement.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herein, and any prospectus supplement that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our securities offered by this prospectus. Unless we indicate otherwise in the applicable prospectus supplement or in any related free writing prospectus we have authorized for use in connection with a specific offering, we anticipate that any net proceeds will be used for working capital and general corporate purposes. We will set forth in the applicable prospectus supplement or free writing prospectus our intended use for the net proceeds received from the sale of securities sold pursuant to that prospectus supplement or free writing prospectus.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will set forth in a prospectus supplement the following information regarding any material dilution of the equity interests of investors purchasing securities in an offering under this prospectus:</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tangible book value per share of our equity securities before and after the offering;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increase in such net tangible book value per share attributable to the cash payments made by purchasers in the offering;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immediate dilution from the public offering price which will be absorbed by such purchasers.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authorized capital consists of 116,666,666 shares of capital stock, $0.01 par value per share, comprised of 66,666,666 shares of common stock and 50,000,000 shares of preferred stock. As of June 2, 2026, there were 10,567,268 shares of our common stock issued and outstanding and 30,000 shares of preferred stock were designated as Series A Convertible Preferred Stock (the “Series A Preferred Shares”) all of which were issued and outstanding. Our common stock is listed on the NASDAQ Capital Market under the symbol “CREX.”</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This summary is, however, subject to the provisions of our articles of incorporation and bylaws. For greater detail about our capital stock, please refer to our articles of incorporation and bylaws and the applicable provisions of Minnesota law. The following description summarizes the material terms of our capital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Voting. </w:t>
      </w:r>
      <w:r>
        <w:rPr>
          <w:rFonts w:ascii="Times New Roman" w:cs="Times New Roman" w:eastAsia="Times New Roman" w:hAnsi="Times New Roman"/>
          <w:sz w:val="18"/>
          <w:szCs w:val="18"/>
          <w:color w:val="auto"/>
        </w:rPr>
        <w:t>The holders of our common stock are entitled to one vote for each outstanding share of common stock owned by that shareholder on every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 properly submitted to the shareholders for their vote. Shareholders are not entitled to vote cumulatively for the election of directors.</w:t>
      </w:r>
    </w:p>
    <w:p>
      <w:pPr>
        <w:spacing w:after="0" w:line="158"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Subject to the dividend rights of the holders of any outstanding series of preferred stock, holders of our common stock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ratably such dividends and other distributions of cash or any other right or property as may be declared by our Board of Directors out of our assets or funds legally available for such dividends or distributions.</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In the event of any voluntary or involuntary liquidation, dissolution or winding up of our affairs, holders of our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be entitled to share ratably in our assets that are legally available for distribution to shareholders after payment of liabilities and after the satisfaction of any liquidation preference owed to the holders of any outstanding series of preferred stock.</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Conversion, Redemption and Preemptive Rights. </w:t>
      </w:r>
      <w:r>
        <w:rPr>
          <w:rFonts w:ascii="Times New Roman" w:cs="Times New Roman" w:eastAsia="Times New Roman" w:hAnsi="Times New Roman"/>
          <w:sz w:val="18"/>
          <w:szCs w:val="18"/>
          <w:color w:val="auto"/>
        </w:rPr>
        <w:t>Holders of our common stock have no conversion, redemption, preemptive, subscription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rights, preferences and privileges of the holders of common stock are subject to, and may be adversely affected by, the rights of the holders of shares of any series of our preferred stock that we may designate and issue in the future.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Limited.</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“Description of Securities” incorporated into this prospectus by reference to Exhibit 4.2 to our Annual Report on Form 10-K for year ended December 31, 2025 for a description of provisions of our articles of incorporation and bylaws and the Minnesota Business Corporation Act that may have the effect of delaying, deferring or preventing changes in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A Redeemable Convertible Preferred Stock.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6, 2025, the Company filed the Certificate of Designations, Preferences and Rights of Series A Convertible Preferred Stock (the “Certificate of Designations”) with the Minnesota Secretary of State, which established the designations, preferences, powers and rights of Series A Preferred Shares. The Series A Preferred Shares have a stated value of $1,000 per share (the “Stated Value”). A summary of such designations, preferences, powers and rights is below.</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Ranking; Liquidation. </w:t>
      </w:r>
      <w:r>
        <w:rPr>
          <w:rFonts w:ascii="Times New Roman" w:cs="Times New Roman" w:eastAsia="Times New Roman" w:hAnsi="Times New Roman"/>
          <w:sz w:val="18"/>
          <w:szCs w:val="18"/>
          <w:color w:val="auto"/>
        </w:rPr>
        <w:t>The Series A Preferred Shares rank senior to the common stock as to distributions and payments upon the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and winding up of the Company. Upon a liquidation, dissolution or winding up of the Company, the holders of Series A Preferred Shares will be entitled to receive in cash, before any amount is paid to the holders of common stock (or any other capital stock of the Company ranking junior to the Series A Preferred Shares in respect of the preferences as to the distributions and payments on the liquidation, dissolution and winding up of the Company), an amount per Series A Preferred Shares equal to the greater of (i) the Liquidation Preference (as defined below), or (ii) such amount per share as would have been payable had all Series A Preferred Shares been converted into common stock immediately prior to such liquidation, dissolution or winding up.</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Series A Preferred Shares accrue dividends for a period of five years from and after the issuance date (the “Guaranteed Term”) at a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5.25% per year on the Stated Value, which will be payable in cash only at the Company’s option beginning upon expiration of the Guaranteed Term. Such dividends accrue daily and compound on a quarterly basis from the issuance date. To the extent that, during the Guaranteed Term, (i) the Company undergoes any liquidation, dissolution, winding up, or “Fundamental Transaction” (as defined in the Certificate of Designations), or (ii) the Company elects to effect a Mandatory Conversion (as defined below) (each, a “Make Whole Event”), then, immediately prior to the effective time of such Make Whole Event, the amount of dividends accrued on the Series A Preferred Shares will automatically be increased by an amount equal to any additional dividends that would have otherwise accrued on the Series A Preferred Shares between the date of the Make Whole Event and the end of the Guaranteed Term (the “Make Whole Payment”), and the dividends will thereafter cease to accrue. In addition, holders of Series A Preferred Shares will participate with the holders of common stock on an as-converted basis (without regard to any limitations or restrictions on conversion) to the extent any dividends are declared on the common stock.</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Optional Conversion. </w:t>
      </w:r>
      <w:r>
        <w:rPr>
          <w:rFonts w:ascii="Times New Roman" w:cs="Times New Roman" w:eastAsia="Times New Roman" w:hAnsi="Times New Roman"/>
          <w:sz w:val="18"/>
          <w:szCs w:val="18"/>
          <w:color w:val="auto"/>
        </w:rPr>
        <w:t>Each Series A Preferred Share is convertible at the option of the holder from and after the date of issuance into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Shares”) at a rate (the “Conversion Rate”) calculated by calculated by dividing (i) the Stated Value plus an amount per share equal to dividends accrued and unpaid through the date of determination (including, if applicable, any Make Whole Payment) (the “Liquidation Preference”), by (ii) by the “Conversion Price” of $3.00, subject to the Beneficial Ownership Limitation and the Exchange Cap limitation described below.</w:t>
      </w:r>
    </w:p>
    <w:p>
      <w:pPr>
        <w:spacing w:after="0" w:line="1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Mandatory Conversion. </w:t>
      </w:r>
      <w:r>
        <w:rPr>
          <w:rFonts w:ascii="Times New Roman" w:cs="Times New Roman" w:eastAsia="Times New Roman" w:hAnsi="Times New Roman"/>
          <w:sz w:val="18"/>
          <w:szCs w:val="18"/>
          <w:color w:val="auto"/>
        </w:rPr>
        <w:t>After the three year anniversary of the issuance date, if on any date (x) the Company’s EBITDA (as defined in the Certificate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Designations) for the four consecutive calendar quarters immediately preceding such date equals or exceeds $30.0 million, (y) the Net Debt Leverage Ratio (as defined in the Certificate of Designations) of the Company as of such date is less than 1.5X, and (z) the closing price of the common stock on its principal trading market equals or exceeds 300% of the then-applicable Conversion Price for 45 trading days during any 60 consecutive trading day period, the Company will have the right to cause the conversion of all of the outstanding Series A Preferred Shares into Conversion Shares at the Conversion Rate (such conversion being a “Mandatory Conversion”).</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Beneficial Ownership Limitation and Exchange Cap Limitation. </w:t>
      </w:r>
      <w:r>
        <w:rPr>
          <w:rFonts w:ascii="Times New Roman" w:cs="Times New Roman" w:eastAsia="Times New Roman" w:hAnsi="Times New Roman"/>
          <w:sz w:val="18"/>
          <w:szCs w:val="18"/>
          <w:color w:val="auto"/>
        </w:rPr>
        <w:t>A holder’s ability to convert and vote its Series A Preferred Shares is subject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limitations. Under a “Beneficial Ownership Limitation,” no holder of Series A Preferred Shares may acquire Conversion Shares if the issuance thereof would result in the converting holder or its affiliates beneficially owning in excess of 19.99% of the number of shares of the Company’s common stock outstanding immediately after giving effect to the issuance. Under an “Exchange Cap” limitation, the total number of Conversion Shares issuable upon conversion of outstanding Series A Preferred Shares, when added to all Conversion Shares previously issued upon prior conversions, may not exceed 2,102,734 shares. However; if the Company obtains shareholder approval to issue shares of common stock in excess of the conversion limitations (as required by applicable Nasdaq Listing Rules), a holder of Series A Preferred Shares may elect for the Exchange Cap to cease to apply to the holder’s Series A Preferred Shares, which election will become effective 61 days after the election. A holder of Series A Preferred Shares, upon written notice to the Company, may decrease (and thereafter increase) the Beneficial Ownership Limitation; provided that the Beneficial Ownership Limitation may in no event exceeds 19.99%, or, if such shareholder approval is obtained, 49.99%. At the Company’s annual meeting of shareholder held December 29, 2025, the Company’s shareholders approved the issuance of Conversion Shares in excess of the Exchange Cap limitation and approved a proposal to increase the maximum Beneficial Ownership Limitation percentage to 49.99%.</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Redemption. </w:t>
      </w:r>
      <w:r>
        <w:rPr>
          <w:rFonts w:ascii="Times New Roman" w:cs="Times New Roman" w:eastAsia="Times New Roman" w:hAnsi="Times New Roman"/>
          <w:sz w:val="18"/>
          <w:szCs w:val="18"/>
          <w:color w:val="auto"/>
        </w:rPr>
        <w:t>The Series A Preferred Shares are subject to automatic redemption for cash upon a “Fundamental Transaction” by the Company,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a merger, sale of all or substantially all the assets of the Company, recapitalization, or the sale by the Company of shares resulting in more than 50% ownership by a person or group. In such event, the redemption price would be equal to the greater of (i) the Liquidation Preference or (ii) the consideration per share of common stock in the Fundamental Transaction (or, in the event of a Fundamental Transaction in which consideration does not consist solely of cash, the volume-weighted average price of the common stock immediately preceding the closing of the Fundamental Transaction).</w:t>
      </w:r>
    </w:p>
    <w:p>
      <w:pPr>
        <w:spacing w:after="0" w:line="1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w:t>
      </w:r>
      <w:r>
        <w:rPr>
          <w:rFonts w:ascii="Times New Roman" w:cs="Times New Roman" w:eastAsia="Times New Roman" w:hAnsi="Times New Roman"/>
          <w:sz w:val="18"/>
          <w:szCs w:val="18"/>
          <w:color w:val="auto"/>
        </w:rPr>
        <w:t>Holders of Series A Preferred Shares generally are entitled to vote on an as-converted basis with holders of the Common Stock,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Ownership Limitation and the Exchange Cap limitations, on all matters on which holders of common stock are entitled to vote, voting together with the common stock as a single class, and are otherwise entitled to such voting rights as required by applicable law.</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Protective Provisions. </w:t>
      </w:r>
      <w:r>
        <w:rPr>
          <w:rFonts w:ascii="Times New Roman" w:cs="Times New Roman" w:eastAsia="Times New Roman" w:hAnsi="Times New Roman"/>
          <w:sz w:val="18"/>
          <w:szCs w:val="18"/>
          <w:color w:val="auto"/>
        </w:rPr>
        <w:t>For so long as the “Lead Investor” in the Company’s offering of Series A Preferred Shares and its affiliates beneficially own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least 20% of the Conversion Shares underlying the Series A Preferred Shares, the Company may not take any of the following actions without the Lead Investor’s consent:</w:t>
      </w:r>
    </w:p>
    <w:p>
      <w:pPr>
        <w:spacing w:after="0" w:line="175" w:lineRule="exact"/>
        <w:rPr>
          <w:sz w:val="20"/>
          <w:szCs w:val="20"/>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authorize, or issue any capital stock that rank senior to or pari passu with the Series A Preferred Shares, or increase the authorized number of shares of Series A Preferred Shares or any additional class or series of capital stock that ranks senior to or pari passu with the Series A Preferred Shares;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that would result in the ratio of debt to EBITDA of the Company for preceding twelve calendar months exceeding 2.5:1;</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redeem, or pay or declare any dividend on shares of capital stock other than redemptions of or dividends on the Series A Preferred Shares;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 acquisition (other than a specified exception) with consideration above $5.0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renew, extend or be a party to certain related party transactions; or</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any provision of the Company’s articles of incorporation or bylaws in a manner that adversely affects the rights, powers and preferences of the Series A Preferred Shares.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Certificate of Designations is not complete and is qualified in its entirety by the terms of the Certificate of Designations that is incorporated by reference into the registration statement of which this prospectus is a part.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our articles of incorporation, our board of directors has the authority, without stockholder approval, subject to limitations prescribed by law, to provide for the issuance of authorized but unissued shares of preferred stock in one or more series, and by filing a certificate pursuant to the applicable law of the State of Minnesota, to establish from time to time the number of shares to be included in each such series, and to fix the designation, powers, preferences and rights of the shares of each series and any qualifications, limitations or restrictions thereof, and to increase or decrease the number of shares of any such series, but not below the number of shares of such series then outstanding.</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fix the designations, voting powers, preferences and rights of the preferred stock of each series,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Commission, the form of any certificate of designation that describes the terms of the series of preferred stock we are offering before the issuance of that series of preferred stock. This description may include, among other things:</w:t>
      </w:r>
    </w:p>
    <w:p>
      <w:pPr>
        <w:spacing w:after="0" w:line="18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dividends;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are cumulative or non-cumulative and, if cumulative, the date from which dividends will accumulate;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or repurchase, if applicable, and any restrictions on our ability to exercise those redemption and repurchase rights;</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stock will be convertible into common stock, including the conversion price (or manner of calculation) and conversion period;</w:t>
      </w:r>
    </w:p>
    <w:p>
      <w:pPr>
        <w:ind w:left="660" w:right="2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the liquidation, dissolution or winding up of our affairs;</w:t>
      </w: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preferred stock.</w:t>
      </w:r>
    </w:p>
    <w:p>
      <w:pPr>
        <w:spacing w:after="0" w:line="2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 The issuance of preferred stock could adversely affect the voting power, conversion or other rights of holders of common stock and reduce the likelihood that common stockholders will receive dividend payments and payments upon liquidation.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laws of the State of Minnesota, the state of our incorporation, generally provide that the holders of outstanding shares of a class or series of preferred stock will have the right to vote separately as a class on any proposal involving a change in the rights or preferences of such class or series of preferred stock. This right is in addition to any voting rights that may be provided for in the applicable certificate of designation.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any series of preferred stock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The particular terms of each series that are offered by a prospectus supplement will be described in the prospectus supplement. The debt securities will be either our senior debt securities (“Senior Debt Securities”) or our subordinated debt securities (“Subordinated Debt Securities” and together with Senior Debt Securities, “Debt Securities”). The Senior Debt Securities and the Subordinated Debt Securities will be issued under an indenture (an “Indenture”) between us and the trustee party thereto (the “Trustee”). The Indenture will be qualified under the Trust Indenture Act of 1939, as amended (the “Trust Indenture Act”). We have filed a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The Subordinated Debt Securities will be subordinated in right of payment to the prior payment in full of all of our senior debt as described in the prospectus supplement applicable to any Subordinated Debt Securities. If the prospectus supplement so indicates, the Debt Securities will be convertible into our common stock.</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stated, the Debt Securities will be our direct, unsecured obligations. The rights of the Company and our creditors, including holders of the Debt Securities, to participate in the assets of any subsidiary will be subject to the prior claims of the subsidiaries’ creditors.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that the Debt Securities may be in any currency or currency unit that we may designate. Except for the provisions that require the assumption of Debt Securities by successors in connection with any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We will determine the terms and conditions of the Debt Securities, including the maturity, principal and interest, but those terms must be consistent with the Indenture.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set forth the price or prices at which the Debt Securities to be offered will be issued and will describe the following terms of such Debt Securities:</w:t>
      </w:r>
    </w:p>
    <w:p>
      <w:pPr>
        <w:spacing w:after="0" w:line="162" w:lineRule="exact"/>
        <w:rPr>
          <w:sz w:val="20"/>
          <w:szCs w:val="20"/>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and aggregate principal amount;</w:t>
      </w:r>
    </w:p>
    <w:p>
      <w:pPr>
        <w:spacing w:after="0" w:line="2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subordination provisions;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into any securities or property;</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of principal amount at which such securities will be issued;</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date;</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or the method for determining the interest rate(s);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dates on which interest will accrue or the method for determining dates on which interest will accrue and dates on which interest will be payable;</w:t>
      </w:r>
    </w:p>
    <w:p>
      <w:pPr>
        <w:spacing w:after="0" w:line="9" w:lineRule="exact"/>
        <w:rPr>
          <w:rFonts w:ascii="Times New Roman" w:cs="Times New Roman" w:eastAsia="Times New Roman" w:hAnsi="Times New Roman"/>
          <w:sz w:val="18"/>
          <w:szCs w:val="18"/>
          <w:color w:val="auto"/>
        </w:rPr>
      </w:pPr>
    </w:p>
    <w:p>
      <w:pPr>
        <w:ind w:left="740" w:hanging="368"/>
        <w:spacing w:after="0" w:line="250"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in additional Debt Securities of the same series, or shall accrue and increase the aggregate principal amount outstanding of such series (including if the Debt Securities were originally issued at a discount);</w:t>
      </w: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deferral rights and periods;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auction and remarketing of the securities;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early repayment provisions;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the securities;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discount or premium, if any, with which such securities will be issued;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securities will be issued in whole or in part in the form of one or more global securities;</w:t>
      </w:r>
    </w:p>
    <w:p>
      <w:pPr>
        <w:spacing w:after="0" w:line="2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of the depositary(ies) for global securities;</w:t>
      </w:r>
    </w:p>
    <w:p>
      <w:pPr>
        <w:spacing w:after="0" w:line="9" w:lineRule="exact"/>
        <w:rPr>
          <w:rFonts w:ascii="Times New Roman" w:cs="Times New Roman" w:eastAsia="Times New Roman" w:hAnsi="Times New Roman"/>
          <w:sz w:val="18"/>
          <w:szCs w:val="18"/>
          <w:color w:val="auto"/>
        </w:rPr>
      </w:pPr>
    </w:p>
    <w:p>
      <w:pPr>
        <w:ind w:left="740" w:right="20" w:hanging="368"/>
        <w:spacing w:after="0" w:line="250"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temporary security is to be issued with respect to such series and whether any interest payable prior to the issuance of definitive securities of the series will be credited to the account of the persons entitled thereto;</w:t>
      </w:r>
    </w:p>
    <w:p>
      <w:pPr>
        <w:ind w:left="740" w:hanging="368"/>
        <w:spacing w:after="0" w:line="250"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upon which beneficial interests in a temporary global security may be exchanged in whole or in part for beneficial interests in a definitive global security or for individual definitive securities;</w:t>
      </w: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collateral or security provided for such Debt Securities;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defaults and events of default applicable to the particular Debt Securities being issued and acceleration rights upon such events;</w:t>
      </w:r>
    </w:p>
    <w:p>
      <w:pPr>
        <w:spacing w:after="0" w:line="9" w:lineRule="exact"/>
        <w:rPr>
          <w:rFonts w:ascii="Times New Roman" w:cs="Times New Roman" w:eastAsia="Times New Roman" w:hAnsi="Times New Roman"/>
          <w:sz w:val="18"/>
          <w:szCs w:val="18"/>
          <w:color w:val="auto"/>
        </w:rPr>
      </w:pPr>
    </w:p>
    <w:p>
      <w:pPr>
        <w:ind w:left="740" w:hanging="368"/>
        <w:spacing w:after="0" w:line="250"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currencies or currency units in which the purchase price for, the principal of and any premium and any interest on such securities will be payable;</w:t>
      </w: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exchange(s) on which the securities will be listed, if any;</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securities under a sinking fund, amortization or analogous provision;</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covenant defeasance and legal defeasance of securities of the series;</w:t>
      </w:r>
    </w:p>
    <w:p>
      <w:pPr>
        <w:spacing w:after="0" w:line="9" w:lineRule="exact"/>
        <w:rPr>
          <w:rFonts w:ascii="Times New Roman" w:cs="Times New Roman" w:eastAsia="Times New Roman" w:hAnsi="Times New Roman"/>
          <w:sz w:val="18"/>
          <w:szCs w:val="18"/>
          <w:color w:val="auto"/>
        </w:rPr>
      </w:pPr>
    </w:p>
    <w:p>
      <w:pPr>
        <w:jc w:val="both"/>
        <w:ind w:left="740" w:hanging="368"/>
        <w:spacing w:after="0" w:line="250"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incur additional indebtedness, issue additional securities, create liens, pay dividends or make distributions of transfer assets, make investments or other restricted payments, sell or otherwise dispose of assets, enter into sale-leaseback transactions, engage in transactions with stockholders or affiliates, issue or sell stock of our subsidiaries, or effect a consolidation or merger;</w:t>
      </w:r>
    </w:p>
    <w:p>
      <w:pPr>
        <w:spacing w:after="0" w:line="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satisfaction and discharge of the Indenture;</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require us to maintain any interest coverage, fixed charge, cash flow-based, asset-based or other financial ratios;</w:t>
      </w:r>
    </w:p>
    <w:p>
      <w:pPr>
        <w:spacing w:after="0" w:line="9" w:lineRule="exact"/>
        <w:rPr>
          <w:rFonts w:ascii="Times New Roman" w:cs="Times New Roman" w:eastAsia="Times New Roman" w:hAnsi="Times New Roman"/>
          <w:sz w:val="18"/>
          <w:szCs w:val="18"/>
          <w:color w:val="auto"/>
        </w:rPr>
      </w:pPr>
    </w:p>
    <w:p>
      <w:pPr>
        <w:ind w:left="740" w:hanging="368"/>
        <w:spacing w:after="0" w:line="250"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w:t>
      </w: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upon the occurrence of specified events, including consolidation, merger and sales;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of transferability of the series; and</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terms not inconsistent with the provisions of the applicable Indenture.</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Debt Securities, including any Debt Securities that provide for an amount less than the principal amount thereof to be due and payable upon a declaration of acceleration of the maturity thereof, may be sold at a substantial discount below their principal amount. Special United States federal income tax considerations applicable to Debt Securities sold at an original issue discount may be described in the applicable prospectus supplement. In addition, special United States federal income tax or other considerations applicable to any Debt Securities that are denominated in a currency or currency unit other than United States dollars may be described in the applicable prospectus supplement.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terms, if any, on which a series of Debt Securities may be convertible into or exchangeable for common stock or other securities will be detailed in the prospectus supplement relating thereto. Such terms will include provisions as to whether conversion or exchange is mandatory, at the option of holders, or at our option, the conversion price and the conversion period, and may include provisions pursuant to which the number of shares of our common stock or other securities to be received by holders of such series of Debt Securities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applicable.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as otherwise described in the prospectus supplement, the following constitute events of default under the Indenture with respect to any series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Securities that we may issue:</w:t>
      </w:r>
    </w:p>
    <w:p>
      <w:pPr>
        <w:spacing w:after="0" w:line="207" w:lineRule="exact"/>
        <w:rPr>
          <w:sz w:val="20"/>
          <w:szCs w:val="20"/>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8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 holder of Debt Securities of any series will have the right to institute a proceeding under the Indenture or to appoint a receiver or Trustee, or to seek other remedies only if:</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252"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8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Indenture provides that, except for specified obligations, we can elect to be discharged from our obligations with respect to one or more series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Securities, including obligations to:</w:t>
      </w:r>
    </w:p>
    <w:p>
      <w:pPr>
        <w:spacing w:after="0" w:line="20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jc w:val="both"/>
        <w:ind w:left="740" w:hanging="368"/>
        <w:spacing w:after="0" w:line="266"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5"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Debt Securities of a series may be issued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We may enter into a warrant agreement with a bank or trust company, as warrant agent. We will indicate the name and address and other information regarding the warrant agent in the applicable prospectus supplement or free writing prospectus relating to a particular series of warrants. The warrant agent will act solely as our agent in connection with the warrants. The warrant agent will not have any obligation or relationship of agency or trust for or with any holders or beneficial owners of warrants.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summary of certain provisions of the warrants is not complete. For the terms of a particular series of warrants, you should refer to the prospectus supplement or free writing prospectus for that series of warrants and the warrant agreement for that particular series. The terms of any warrants we offer under a prospectus supplement or free writing prospectus may differ from the terms we describe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prospectus supplement or free writing prospectus relating to a particular issue of warrants to purchase debt securities will describe the terms of the debt warrants, including the following:</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debt warrants,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debt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debt securities, including any conversion rights, purchasable upon exercise of the debt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debt warrants and any debt securities issued with them will be separately transferable;</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debt warrants will commence and expire;</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debt warrants that may be exercised at any one time;</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represented by the debt warrant certificates or debt securities that may be issued upon exercise of the debt warrants will be issued in registered or bearer form;</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debt warrants,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debt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the holder’s right to require us to repurchase the warrants upon a change in control or similar event; and</w:t>
      </w:r>
    </w:p>
    <w:p>
      <w:pPr>
        <w:spacing w:after="0" w:line="3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debt warrants, including procedures, and limitations relating to the exchange, exercise and settlement of the debt warrants.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or free writing prospectus.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 or to enforce covenants in the indenture.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prospectus supplement or free writing prospectus relating to a particular series of warrants to purchase our common stock or preferred stock will describe the terms of the warrants, including the following:</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common stock or preferred stock that may be purchased upon exercise of the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security;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or preferred stock that may be purchased upon exercise of a warrant and the exercise price for the warrants;</w:t>
      </w:r>
    </w:p>
    <w:p>
      <w:pPr>
        <w:spacing w:after="0" w:line="47"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shall commence and expire;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holder’s right to require us to repurchase the warrants upon a change in control or similar event;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procedures, and limitations relating to the exchange, exercise and settlement of the warrants.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of equity warrants will not be entitled:</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notice as stockholders with respect to any meeting of stockholders for the election of our directors or any other matter;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any rights as stockholders of the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into which the warrant is exercisable, as specified in the applicable prospectus supplement or free writing prospectus, at the exercise price that we describe in the applicable prospectus supplement or free writing prospectus. The warrants may be exercised as set forth in the prospectus supplement or free writing prospectus relating to the warrants offered. Unless we otherwise specify in the applicable prospectus supplement or free writing prospectus, warrants may be exercised at any time up to the close of business on the expiration date set forth in the prospectus supplement or free writing prospectus relating to the warrants offered thereby. After the close of business on the expiration date, unexercised warrants will become void.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receipt of payment and the warrant certificate or agreement, as applicable, properly completed and duly executed at the corporate trust office of the warrant agent, if any, or any other office, including ours, indicated in the prospectus supplement or free writing prospectus, we will, as soon as practicable, issue and deliver the securities purchasable upon such exercise. If less than all of the warrants represented by such warrant certificate or agreement are exercised, a new warrant certificate or agreement will be issued for the remaining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or free writing prospectus, the warrants and warrant agreements will be governed by and construed in accordance with the laws of the State of New York.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17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times of sale;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5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underwriters,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validity of any securities offered from time to time by this prospectus and any related prospectus supplement will be passed upon by Taft Stettinius</w:t>
      </w:r>
    </w:p>
    <w:p>
      <w:pPr>
        <w:spacing w:after="0" w:line="39" w:lineRule="exact"/>
        <w:rPr>
          <w:sz w:val="20"/>
          <w:szCs w:val="20"/>
          <w:color w:val="auto"/>
        </w:rPr>
      </w:pPr>
    </w:p>
    <w:p>
      <w:pPr>
        <w:ind w:firstLine="8"/>
        <w:spacing w:after="0" w:line="260" w:lineRule="auto"/>
        <w:tabs>
          <w:tab w:leader="none" w:pos="1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Hollister LLP. If legal matters in connection with offerings made pursuant to this prospectus and any related prospectus supplement are passed upon by counsel to underwriters, dealers or agents, if any, such counsel will be named in the prospectus supplement related to such offering.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of Creative Realities, Inc. as of December 31, 2025 and 2024, and for each of the two years then ended,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 reporting company and file annual, quarterly and current reports, proxy statements and other information with the Commission. The Commission maintains an Internet site at http://www.sec.gov that contains reports, proxy and information statements and other information regarding issuers that file electronically with the Commission. Our Commission filings are available on the Commission’s Internet site.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representations, warranties and covenants made by us in any agreement that is filed as an exhibit to the registration statement of which this prospectus is a part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made as of an earlier date.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maintain an Internet site at http://www.cri.com. Information found on, or accessible through, our website is not a part of, and is not incorporated into, this prospectus, and you should not consider it part of this prospectus or part of any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INFORMATION INCORPORATED BY REFERENCE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You should read the information incorporated by reference because it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187" w:lineRule="exact"/>
        <w:rPr>
          <w:sz w:val="20"/>
          <w:szCs w:val="20"/>
          <w:color w:val="auto"/>
        </w:rPr>
      </w:pPr>
    </w:p>
    <w:p>
      <w:pPr>
        <w:ind w:left="740" w:hanging="368"/>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2025, which was filed on </w:t>
      </w:r>
      <w:hyperlink r:id="rId30">
        <w:r>
          <w:rPr>
            <w:rFonts w:ascii="Times New Roman" w:cs="Times New Roman" w:eastAsia="Times New Roman" w:hAnsi="Times New Roman"/>
            <w:sz w:val="18"/>
            <w:szCs w:val="18"/>
            <w:u w:val="single" w:color="auto"/>
            <w:color w:val="0000EE"/>
          </w:rPr>
          <w:t>April 15, 2026</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fiscal quarter ended March 31, 2026, filed with the SEC on </w:t>
      </w:r>
      <w:hyperlink r:id="rId31">
        <w:r>
          <w:rPr>
            <w:rFonts w:ascii="Times New Roman" w:cs="Times New Roman" w:eastAsia="Times New Roman" w:hAnsi="Times New Roman"/>
            <w:sz w:val="18"/>
            <w:szCs w:val="18"/>
            <w:u w:val="single" w:color="auto"/>
            <w:color w:val="0000EE"/>
          </w:rPr>
          <w:t>May 15, 2026</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32">
        <w:r>
          <w:rPr>
            <w:rFonts w:ascii="Times New Roman" w:cs="Times New Roman" w:eastAsia="Times New Roman" w:hAnsi="Times New Roman"/>
            <w:sz w:val="18"/>
            <w:szCs w:val="18"/>
            <w:u w:val="single" w:color="auto"/>
            <w:color w:val="0000EE"/>
          </w:rPr>
          <w:t>January 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3">
        <w:r>
          <w:rPr>
            <w:rFonts w:ascii="Times New Roman" w:cs="Times New Roman" w:eastAsia="Times New Roman" w:hAnsi="Times New Roman"/>
            <w:sz w:val="18"/>
            <w:szCs w:val="18"/>
            <w:u w:val="single" w:color="auto"/>
            <w:color w:val="0000EE"/>
          </w:rPr>
          <w:t>February 18, 2026</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left="740" w:hanging="368"/>
        <w:spacing w:after="0" w:line="261" w:lineRule="auto"/>
        <w:tabs>
          <w:tab w:leader="none" w:pos="740" w:val="left"/>
        </w:tabs>
        <w:numPr>
          <w:ilvl w:val="0"/>
          <w:numId w:val="2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set forth in our Registration Statement on Form 8-A, filed on </w:t>
      </w:r>
      <w:hyperlink r:id="rId34">
        <w:r>
          <w:rPr>
            <w:rFonts w:ascii="Times New Roman" w:cs="Times New Roman" w:eastAsia="Times New Roman" w:hAnsi="Times New Roman"/>
            <w:sz w:val="18"/>
            <w:szCs w:val="18"/>
            <w:u w:val="single" w:color="auto"/>
            <w:color w:val="0000EE"/>
          </w:rPr>
          <w:t>November 14, 2018</w:t>
        </w:r>
      </w:hyperlink>
      <w:r>
        <w:rPr>
          <w:rFonts w:ascii="Times New Roman" w:cs="Times New Roman" w:eastAsia="Times New Roman" w:hAnsi="Times New Roman"/>
          <w:sz w:val="18"/>
          <w:szCs w:val="18"/>
          <w:color w:val="auto"/>
        </w:rPr>
        <w:t xml:space="preserve">, including any amendments or reports filed for the purpose of updating such description, including the description under the caption “Description of Securities – </w:t>
      </w:r>
      <w:hyperlink r:id="rId35">
        <w:r>
          <w:rPr>
            <w:rFonts w:ascii="Times New Roman" w:cs="Times New Roman" w:eastAsia="Times New Roman" w:hAnsi="Times New Roman"/>
            <w:sz w:val="18"/>
            <w:szCs w:val="18"/>
            <w:color w:val="auto"/>
          </w:rPr>
          <w:t xml:space="preserve">Common Stock” included as Exhibit 4.2 to our Annual Report on Form 10-K for the fiscal year ended December 31, 2023, filed on </w:t>
        </w:r>
        <w:r>
          <w:rPr>
            <w:rFonts w:ascii="Times New Roman" w:cs="Times New Roman" w:eastAsia="Times New Roman" w:hAnsi="Times New Roman"/>
            <w:sz w:val="18"/>
            <w:szCs w:val="18"/>
            <w:u w:val="single" w:color="auto"/>
            <w:color w:val="0000EE"/>
          </w:rPr>
          <w:t>March 21,</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hyperlink>
    </w:p>
    <w:p>
      <w:pPr>
        <w:spacing w:after="0" w:line="180" w:lineRule="exact"/>
        <w:rPr>
          <w:rFonts w:ascii="Times New Roman" w:cs="Times New Roman" w:eastAsia="Times New Roman" w:hAnsi="Times New Roman"/>
          <w:sz w:val="18"/>
          <w:szCs w:val="18"/>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provide at no cost to each person, including any beneficial owner, to whom a prospectus is delivered, a copy of any or all of the documents that are incorporated by reference in this prospectus but not delivered with this prospectus, including exhibits that are specifically incorporated by reference in such documents. You may request a copy of such documents by writing or telephoning us at the following address or telephone number:</w:t>
      </w:r>
    </w:p>
    <w:p>
      <w:pPr>
        <w:spacing w:after="0" w:line="1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Creative Realities,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13100 Magisterial Drive, Suite 201</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Louisville, KY 40223</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791-8800</w:t>
      </w:r>
    </w:p>
    <w:p>
      <w:pPr>
        <w:spacing w:after="0" w:line="20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431165</wp:posOffset>
            </wp:positionV>
            <wp:extent cx="2468880" cy="428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24688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Warrants to Purchase Common Stock or Preferred Stock</w:t>
      </w:r>
    </w:p>
    <w:p>
      <w:pPr>
        <w:spacing w:after="0" w:line="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588645</wp:posOffset>
            </wp:positionV>
            <wp:extent cx="17830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325755</wp:posOffset>
            </wp:positionV>
            <wp:extent cx="17830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June 16, 2026</w:t>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amp;"/>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1)"/>
      <w:numFmt w:val="decimal"/>
      <w:start w:val="50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jpeg"/><Relationship Id="rId38" Type="http://schemas.openxmlformats.org/officeDocument/2006/relationships/image" Target="media/image25.png"/><Relationship Id="rId39" Type="http://schemas.openxmlformats.org/officeDocument/2006/relationships/image" Target="media/image26.png"/><Relationship Id="rId30" Type="http://schemas.openxmlformats.org/officeDocument/2006/relationships/hyperlink" Target="http://www.sec.gov/Archives/edgar/data/1356093/000143774926012302/crex20251231c_10k.htm" TargetMode="External"/><Relationship Id="rId31" Type="http://schemas.openxmlformats.org/officeDocument/2006/relationships/hyperlink" Target="http://www.sec.gov/Archives/edgar/data/1356093/000143774926017219/crex20260331c_10q.htm" TargetMode="External"/><Relationship Id="rId32" Type="http://schemas.openxmlformats.org/officeDocument/2006/relationships/hyperlink" Target="http://www.sec.gov/Archives/edgar/data/1356093/000143774926000084/crex20260102_8k.htm" TargetMode="External"/><Relationship Id="rId33" Type="http://schemas.openxmlformats.org/officeDocument/2006/relationships/hyperlink" Target="http://www.sec.gov/Archives/edgar/data/1356093/000143774926004453/crex20260218_8k.htm" TargetMode="External"/><Relationship Id="rId34" Type="http://schemas.openxmlformats.org/officeDocument/2006/relationships/hyperlink" Target="http://www.sec.gov/Archives/edgar/data/1356093/000121390018015796/f8a12b111418_creativereal.htm" TargetMode="External"/><Relationship Id="rId35" Type="http://schemas.openxmlformats.org/officeDocument/2006/relationships/hyperlink" Target="http://www.sec.gov/Archives/edgar/data/1356093/000143774924008777/ex_6369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2026-06-18T12:38:16Z</dcterms:created>
  <dcterms:modified xsi:type="dcterms:W3CDTF">2026-06-18T12:38:16Z</dcterms:modified>
</cp:coreProperties>
</file>