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crex20260601_s3.htm"/>
        <w:bookmarkStart w:id="1" w:name="kscrex20260601_s3"/>
        <w:bookmarkEnd w:id="0"/>
        <w:bookmarkEnd w:id="1"/>
        <w:r>
          <w:rPr>
            <w:rStyle w:val="InternetLink"/>
            <w:rFonts w:ascii="Times New Roman" w:hAnsi="Times New Roman"/>
            <w:caps w:val="false"/>
            <w:smallCaps w:val="false"/>
            <w:sz w:val="20"/>
          </w:rPr>
          <w:t>Table of Contents</w:t>
        </w:r>
      </w:hyperlink>
    </w:p>
    <w:tbl>
      <w:tblPr>
        <w:tblW w:w="7795" w:type="dxa"/>
        <w:jc w:val="left"/>
        <w:tblInd w:w="0" w:type="dxa"/>
        <w:tblLayout w:type="fixed"/>
        <w:tblCellMar>
          <w:top w:w="0" w:type="dxa"/>
          <w:left w:w="0" w:type="dxa"/>
          <w:bottom w:w="0" w:type="dxa"/>
          <w:right w:w="0" w:type="dxa"/>
        </w:tblCellMar>
      </w:tblPr>
      <w:tblGrid>
        <w:gridCol w:w="5975"/>
        <w:gridCol w:w="1820"/>
      </w:tblGrid>
      <w:tr>
        <w:trPr/>
        <w:tc>
          <w:tcPr>
            <w:tcW w:w="5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As filed with the Securities and Exchange Commission on June 4, 2026</w:t>
            </w:r>
            <w:r>
              <w:rPr>
                <w:rFonts w:ascii="Times New Roman" w:hAnsi="Times New Roman"/>
                <w:caps w:val="false"/>
                <w:smallCaps w:val="false"/>
                <w:sz w:val="20"/>
              </w:rPr>
              <w:t> </w:t>
            </w:r>
          </w:p>
        </w:tc>
        <w:tc>
          <w:tcPr>
            <w:tcW w:w="182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No. 333-</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S-3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REGISTRATION STATEMENT 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2705"/>
        <w:gridCol w:w="1535"/>
      </w:tblGrid>
      <w:tr>
        <w:trPr/>
        <w:tc>
          <w:tcPr>
            <w:tcW w:w="270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Minnesota</w:t>
            </w:r>
          </w:p>
        </w:tc>
        <w:tc>
          <w:tcPr>
            <w:tcW w:w="15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41-1967918</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(State or jurisdiction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(I.R.S. Employer</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of incorporation or organization)</w:t>
            </w:r>
          </w:p>
        </w:tc>
        <w:tc>
          <w:tcPr>
            <w:tcW w:w="15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13100 Magisterial Drive, Suite 201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Louisville, KY 40223</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(502) 791-8800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including zip code, and telephone number, including area code,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registrant’s principal executive offices and principal place of business)</w:t>
      </w:r>
    </w:p>
    <w:p>
      <w:pPr>
        <w:pStyle w:val="TextBody"/>
        <w:bidi w:val="0"/>
        <w:spacing w:before="0" w:after="0"/>
        <w:ind w:left="0" w:right="0" w:hanging="0"/>
        <w:jc w:val="left"/>
        <w:rPr>
          <w:caps w:val="false"/>
          <w:smallCaps w:val="false"/>
        </w:rPr>
      </w:pPr>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4115"/>
        <w:gridCol w:w="2660"/>
      </w:tblGrid>
      <w:tr>
        <w:trPr/>
        <w:tc>
          <w:tcPr>
            <w:tcW w:w="411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Tamra Koshewa</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Chief Financial Officer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13100 Magisterial Drive, Suite 201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Louisville, KY 40223</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(502) 791-8800 </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address, including zip code, and telephone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including area code, of agent for service)</w:t>
            </w:r>
          </w:p>
        </w:tc>
        <w:tc>
          <w:tcPr>
            <w:tcW w:w="2660" w:type="dxa"/>
            <w:tcBorders/>
            <w:vAlign w:val="center"/>
          </w:tcPr>
          <w:p>
            <w:pPr>
              <w:pStyle w:val="TableContents"/>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Copy to:</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Bradley A. Pederson, Esq.</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Taft Stettinius &amp; Hollister LLP</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2200 IDS Center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80 South 8th Street</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Minneapolis, Minnesota 55402</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Telephone: (612) 977-8538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Approximate date of commencement of proposed sale to the public</w:t>
      </w:r>
      <w:r>
        <w:rPr>
          <w:rFonts w:ascii="Times New Roman" w:hAnsi="Times New Roman"/>
          <w:caps w:val="false"/>
          <w:smallCaps w:val="false"/>
          <w:sz w:val="20"/>
        </w:rPr>
        <w:t>: From time to time on or after the effective date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Pursuant to Rule 415(a)(6), the securities being registered hereunder include $37,640,848 of securities which remain unsold as of the date hereof (collectively, the </w:t>
      </w:r>
      <w:r>
        <w:rPr>
          <w:rFonts w:ascii="Times New Roman" w:hAnsi="Times New Roman"/>
          <w:caps w:val="false"/>
          <w:smallCaps w:val="false"/>
          <w:sz w:val="20"/>
        </w:rPr>
        <w:t>“</w:t>
      </w:r>
      <w:r>
        <w:rPr>
          <w:rFonts w:ascii="Times New Roman" w:hAnsi="Times New Roman"/>
          <w:b/>
          <w:caps w:val="false"/>
          <w:smallCaps w:val="false"/>
          <w:sz w:val="20"/>
        </w:rPr>
        <w:t>Carry Forward Securities</w:t>
      </w:r>
      <w:r>
        <w:rPr>
          <w:rFonts w:ascii="Times New Roman" w:hAnsi="Times New Roman"/>
          <w:caps w:val="false"/>
          <w:smallCaps w:val="false"/>
          <w:sz w:val="20"/>
        </w:rPr>
        <w:t>”</w:t>
      </w:r>
      <w:r>
        <w:rPr>
          <w:rFonts w:ascii="Times New Roman" w:hAnsi="Times New Roman"/>
          <w:b/>
          <w:caps w:val="false"/>
          <w:smallCaps w:val="false"/>
          <w:sz w:val="20"/>
        </w:rPr>
        <w:t>) previously registered by the registrant</w:t>
      </w:r>
      <w:r>
        <w:rPr>
          <w:rFonts w:ascii="Times New Roman" w:hAnsi="Times New Roman"/>
          <w:caps w:val="false"/>
          <w:smallCaps w:val="false"/>
          <w:sz w:val="20"/>
        </w:rPr>
        <w:t>’</w:t>
      </w:r>
      <w:r>
        <w:rPr>
          <w:rFonts w:ascii="Times New Roman" w:hAnsi="Times New Roman"/>
          <w:b/>
          <w:caps w:val="false"/>
          <w:smallCaps w:val="false"/>
          <w:sz w:val="20"/>
        </w:rPr>
        <w:t xml:space="preserve">s registration statement on Form S-3 (File No. 333-272202), which was originally filed with the Commission on May 25, 2023, and declared effective by the Commission on June 6, 2023 (the </w:t>
      </w:r>
      <w:r>
        <w:rPr>
          <w:rFonts w:ascii="Times New Roman" w:hAnsi="Times New Roman"/>
          <w:caps w:val="false"/>
          <w:smallCaps w:val="false"/>
          <w:sz w:val="20"/>
        </w:rPr>
        <w:t>“</w:t>
      </w:r>
      <w:r>
        <w:rPr>
          <w:rFonts w:ascii="Times New Roman" w:hAnsi="Times New Roman"/>
          <w:b/>
          <w:caps w:val="false"/>
          <w:smallCaps w:val="false"/>
          <w:sz w:val="20"/>
        </w:rPr>
        <w:t>Prior Registration Statement</w:t>
      </w:r>
      <w:r>
        <w:rPr>
          <w:rFonts w:ascii="Times New Roman" w:hAnsi="Times New Roman"/>
          <w:caps w:val="false"/>
          <w:smallCaps w:val="false"/>
          <w:sz w:val="20"/>
        </w:rPr>
        <w:t>”</w:t>
      </w:r>
      <w:r>
        <w:rPr>
          <w:rFonts w:ascii="Times New Roman" w:hAnsi="Times New Roman"/>
          <w:b/>
          <w:caps w:val="false"/>
          <w:smallCaps w:val="false"/>
          <w:sz w:val="20"/>
        </w:rPr>
        <w:t xml:space="preserve">). The aggregate filing fee paid in connection with such Unsold Securities was $4,885.78. Pursuant to Rule 415(a)(6) under the Securities Act, (i) the registration fee applicable to the Unsold Securities is being carried forward to this registration statement and will continue to be applied to the Unsold Securities, and (ii) the offering of the Unsold Securities registered on the Prior Registration Statement will be deemed terminated as of the date of effectiveness of this registration statement. Accordingly, the registrant is not paying a registration fee with the filing of this registration statement with respect to the Unsold Securities. If the registrant sells any of the Unsold Securities pursuant to the Prior Registration Statement after the date of the initial filing, and prior to the date of effectiveness, of this registration statement, the registrant will file a pre-effective amendment to this registration statement, which will reduce the number of Unsold Securities included on this registration statement.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color w:val="FF0000"/>
          <w:sz w:val="20"/>
        </w:rPr>
      </w:pPr>
      <w:r>
        <w:rPr>
          <w:rFonts w:ascii="Times New Roman" w:hAnsi="Times New Roman"/>
          <w:caps w:val="false"/>
          <w:smallCaps w:val="false"/>
          <w:color w:val="FF0000"/>
          <w:sz w:val="20"/>
        </w:rPr>
        <w:t>The information in this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color w:val="FF0000"/>
          <w:sz w:val="20"/>
        </w:rPr>
      </w:pPr>
      <w:r>
        <w:rPr>
          <w:rFonts w:ascii="Times New Roman" w:hAnsi="Times New Roman"/>
          <w:caps w:val="false"/>
          <w:smallCaps w:val="false"/>
          <w:color w:val="FF0000"/>
          <w:sz w:val="20"/>
        </w:rPr>
        <w:t>Subject to completion, dated June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PROSPECTUS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2743200" cy="47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Preferred Stock</w:t>
      </w:r>
      <w:r>
        <w:rPr>
          <w:rFonts w:ascii="Times New Roman" w:hAnsi="Times New Roman"/>
          <w:caps w:val="false"/>
          <w:smallCaps w:val="false"/>
          <w:sz w:val="20"/>
        </w:rPr>
        <w:br/>
      </w:r>
      <w:r>
        <w:rPr>
          <w:rFonts w:ascii="Times New Roman" w:hAnsi="Times New Roman"/>
          <w:b/>
          <w:caps w:val="false"/>
          <w:smallCaps w:val="false"/>
          <w:sz w:val="20"/>
        </w:rPr>
        <w:t>Warrants to Purchase Common Stock or Preferred Stock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offer from time to time securities described in this prospectus separately or together in any combination. We may offer and sell such securities in one or more offerings with a total aggregate principal amount or initial purchase price not to exceed $100,000,000. These securities may be convertible into or exchangeable for our other securities. This prospectus provides a general description of these securities. We will provide you with specific information about the offering and terms of these securities in supplements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buying any of the securities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caps w:val="false"/>
          <w:smallCaps w:val="false"/>
          <w:sz w:val="20"/>
        </w:rPr>
      </w:pPr>
      <w:r>
        <w:rPr>
          <w:rFonts w:ascii="Times New Roman" w:hAnsi="Times New Roman"/>
          <w:b/>
          <w:caps w:val="false"/>
          <w:smallCaps w:val="false"/>
          <w:sz w:val="20"/>
        </w:rPr>
        <w:t>This prospectus may not be used to offer or sell securities unless accompanied by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offer and sell these securities on a continuous or delayed basis, at prices and on terms to be determined at the time of any particular offering, directly to purchasers, through agents, dealers or underwriters as designated from time to time, or through a combination of these methods. See “Plan of Distribution.” The prospectus supplement for each offering will describe in detail the plan of distribution for that offering and will set forth the names of underwriters, dealers or agents, if any, involved in the offering and any applicable discounts or commissions payable to them. Net proceeds from the sale of the securities also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otherwise stated in a prospectus supplement, none of these securities will be listed on any securities exchange. Our common stock is listed on The NASDAQ Capital Market under the symbol “CREX.” The last reported per share price for our common stock was $3.75, as quoted on The NASDAQ Capital Market on June 2, 2026. As of June 2, 2026, the aggregate market value of our outstanding common stock held by non-affiliates (our “public float”) was $37,035,398. Pursuant to General Instruction I.B.6 of Form S-3, in no event will we sell securities in a public primary offering in reliance on such General Instruction with a value exceeding one-third of our public float during any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Investing in our securities involves a high degree of risk. You should review carefully the risks and uncertainties described under the heading </w:t>
      </w:r>
      <w:r>
        <w:rPr>
          <w:rFonts w:ascii="Times New Roman" w:hAnsi="Times New Roman"/>
          <w:caps w:val="false"/>
          <w:smallCaps w:val="false"/>
          <w:sz w:val="20"/>
        </w:rPr>
        <w:t>“</w:t>
      </w:r>
      <w:r>
        <w:rPr>
          <w:rFonts w:ascii="Times New Roman" w:hAnsi="Times New Roman"/>
          <w:b/>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contained in the applicable prospectus supplement and any related free writing prospectus, and under similar headings in the other documents that are incorporated by reference into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date of this prospectus is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4670"/>
        <w:gridCol w:w="440"/>
      </w:tblGrid>
      <w:tr>
        <w:trPr/>
        <w:tc>
          <w:tcPr>
            <w:tcW w:w="467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Page</w:t>
            </w:r>
          </w:p>
        </w:tc>
      </w:tr>
      <w:tr>
        <w:trPr/>
        <w:tc>
          <w:tcPr>
            <w:tcW w:w="4670" w:type="dxa"/>
            <w:tcBorders/>
            <w:vAlign w:val="center"/>
          </w:tcPr>
          <w:p>
            <w:pPr>
              <w:pStyle w:val="TableContents"/>
              <w:bidi w:val="0"/>
              <w:spacing w:before="0" w:after="0"/>
              <w:ind w:left="0" w:right="0" w:hanging="0"/>
              <w:jc w:val="both"/>
              <w:rPr/>
            </w:pPr>
            <w:hyperlink w:anchor="about">
              <w:r>
                <w:rPr>
                  <w:rStyle w:val="InternetLink"/>
                  <w:rFonts w:ascii="Times New Roman" w:hAnsi="Times New Roman"/>
                  <w:caps w:val="false"/>
                  <w:smallCaps w:val="false"/>
                  <w:sz w:val="20"/>
                </w:rPr>
                <w:t>About this Prospectus</w:t>
              </w:r>
            </w:hyperlink>
          </w:p>
        </w:tc>
        <w:tc>
          <w:tcPr>
            <w:tcW w:w="440" w:type="dxa"/>
            <w:tcBorders/>
            <w:vAlign w:val="center"/>
          </w:tcPr>
          <w:p>
            <w:pPr>
              <w:pStyle w:val="TableContents"/>
              <w:bidi w:val="0"/>
              <w:spacing w:before="0" w:after="0"/>
              <w:ind w:left="0" w:right="0" w:hanging="0"/>
              <w:jc w:val="center"/>
              <w:rPr/>
            </w:pPr>
            <w:hyperlink w:anchor="about">
              <w:r>
                <w:rPr>
                  <w:rStyle w:val="InternetLink"/>
                  <w:rFonts w:ascii="Times New Roman" w:hAnsi="Times New Roman"/>
                  <w:caps w:val="false"/>
                  <w:smallCaps w:val="false"/>
                  <w:sz w:val="20"/>
                </w:rPr>
                <w:t>i</w:t>
              </w:r>
            </w:hyperlink>
          </w:p>
        </w:tc>
      </w:tr>
      <w:tr>
        <w:trPr/>
        <w:tc>
          <w:tcPr>
            <w:tcW w:w="4670" w:type="dxa"/>
            <w:tcBorders/>
            <w:vAlign w:val="center"/>
          </w:tcPr>
          <w:p>
            <w:pPr>
              <w:pStyle w:val="TableContents"/>
              <w:bidi w:val="0"/>
              <w:spacing w:before="0" w:after="0"/>
              <w:ind w:left="0" w:right="0" w:hanging="0"/>
              <w:jc w:val="both"/>
              <w:rPr/>
            </w:pPr>
            <w:hyperlink w:anchor="company">
              <w:r>
                <w:rPr>
                  <w:rStyle w:val="InternetLink"/>
                  <w:rFonts w:ascii="Times New Roman" w:hAnsi="Times New Roman"/>
                  <w:caps w:val="false"/>
                  <w:smallCaps w:val="false"/>
                  <w:sz w:val="20"/>
                </w:rPr>
                <w:t>The Company</w:t>
              </w:r>
            </w:hyperlink>
          </w:p>
        </w:tc>
        <w:tc>
          <w:tcPr>
            <w:tcW w:w="440" w:type="dxa"/>
            <w:tcBorders/>
            <w:vAlign w:val="center"/>
          </w:tcPr>
          <w:p>
            <w:pPr>
              <w:pStyle w:val="TableContents"/>
              <w:bidi w:val="0"/>
              <w:spacing w:before="0" w:after="0"/>
              <w:ind w:left="0" w:right="0" w:hanging="0"/>
              <w:jc w:val="center"/>
              <w:rPr/>
            </w:pPr>
            <w:hyperlink w:anchor="company">
              <w:r>
                <w:rPr>
                  <w:rStyle w:val="InternetLink"/>
                  <w:rFonts w:ascii="Times New Roman" w:hAnsi="Times New Roman"/>
                  <w:caps w:val="false"/>
                  <w:smallCaps w:val="false"/>
                  <w:sz w:val="20"/>
                </w:rPr>
                <w:t>1</w:t>
              </w:r>
            </w:hyperlink>
          </w:p>
        </w:tc>
      </w:tr>
      <w:tr>
        <w:trPr/>
        <w:tc>
          <w:tcPr>
            <w:tcW w:w="4670" w:type="dxa"/>
            <w:tcBorders/>
            <w:vAlign w:val="center"/>
          </w:tcPr>
          <w:p>
            <w:pPr>
              <w:pStyle w:val="TableContents"/>
              <w:bidi w:val="0"/>
              <w:spacing w:before="0" w:after="0"/>
              <w:ind w:left="0" w:right="0" w:hanging="0"/>
              <w:jc w:val="both"/>
              <w:rPr/>
            </w:pPr>
            <w:hyperlink w:anchor="risk">
              <w:r>
                <w:rPr>
                  <w:rStyle w:val="InternetLink"/>
                  <w:rFonts w:ascii="Times New Roman" w:hAnsi="Times New Roman"/>
                  <w:caps w:val="false"/>
                  <w:smallCaps w:val="false"/>
                  <w:sz w:val="20"/>
                </w:rPr>
                <w:t>Risk Factors</w:t>
              </w:r>
            </w:hyperlink>
          </w:p>
        </w:tc>
        <w:tc>
          <w:tcPr>
            <w:tcW w:w="440" w:type="dxa"/>
            <w:tcBorders/>
            <w:vAlign w:val="center"/>
          </w:tcPr>
          <w:p>
            <w:pPr>
              <w:pStyle w:val="TableContents"/>
              <w:bidi w:val="0"/>
              <w:spacing w:before="0" w:after="283"/>
              <w:jc w:val="center"/>
              <w:rPr/>
            </w:pPr>
            <w:hyperlink w:anchor="risk">
              <w:r>
                <w:rPr>
                  <w:rStyle w:val="InternetLink"/>
                </w:rPr>
                <w:t>2</w:t>
              </w:r>
            </w:hyperlink>
          </w:p>
        </w:tc>
      </w:tr>
      <w:tr>
        <w:trPr/>
        <w:tc>
          <w:tcPr>
            <w:tcW w:w="4670" w:type="dxa"/>
            <w:tcBorders/>
            <w:vAlign w:val="center"/>
          </w:tcPr>
          <w:p>
            <w:pPr>
              <w:pStyle w:val="TableContents"/>
              <w:bidi w:val="0"/>
              <w:spacing w:before="0" w:after="0"/>
              <w:ind w:left="0" w:right="0" w:hanging="0"/>
              <w:jc w:val="both"/>
              <w:rPr/>
            </w:pPr>
            <w:hyperlink w:anchor="caution">
              <w:r>
                <w:rPr>
                  <w:rStyle w:val="InternetLink"/>
                  <w:rFonts w:ascii="Times New Roman" w:hAnsi="Times New Roman"/>
                  <w:caps w:val="false"/>
                  <w:smallCaps w:val="false"/>
                  <w:sz w:val="20"/>
                </w:rPr>
                <w:t>Cautionary Note Regarding Forward-Looking Statements</w:t>
              </w:r>
            </w:hyperlink>
          </w:p>
        </w:tc>
        <w:tc>
          <w:tcPr>
            <w:tcW w:w="440" w:type="dxa"/>
            <w:tcBorders/>
            <w:vAlign w:val="center"/>
          </w:tcPr>
          <w:p>
            <w:pPr>
              <w:pStyle w:val="TableContents"/>
              <w:bidi w:val="0"/>
              <w:spacing w:before="0" w:after="283"/>
              <w:jc w:val="center"/>
              <w:rPr/>
            </w:pPr>
            <w:hyperlink w:anchor="caution">
              <w:r>
                <w:rPr>
                  <w:rStyle w:val="InternetLink"/>
                </w:rPr>
                <w:t>3</w:t>
              </w:r>
            </w:hyperlink>
          </w:p>
        </w:tc>
      </w:tr>
      <w:tr>
        <w:trPr/>
        <w:tc>
          <w:tcPr>
            <w:tcW w:w="4670" w:type="dxa"/>
            <w:tcBorders/>
            <w:vAlign w:val="center"/>
          </w:tcPr>
          <w:p>
            <w:pPr>
              <w:pStyle w:val="TableContents"/>
              <w:bidi w:val="0"/>
              <w:spacing w:before="0" w:after="0"/>
              <w:ind w:left="0" w:right="0" w:hanging="0"/>
              <w:jc w:val="both"/>
              <w:rPr/>
            </w:pPr>
            <w:hyperlink w:anchor="use">
              <w:r>
                <w:rPr>
                  <w:rStyle w:val="InternetLink"/>
                  <w:rFonts w:ascii="Times New Roman" w:hAnsi="Times New Roman"/>
                  <w:caps w:val="false"/>
                  <w:smallCaps w:val="false"/>
                  <w:sz w:val="20"/>
                </w:rPr>
                <w:t>Use of Proceeds</w:t>
              </w:r>
            </w:hyperlink>
          </w:p>
        </w:tc>
        <w:tc>
          <w:tcPr>
            <w:tcW w:w="440" w:type="dxa"/>
            <w:tcBorders/>
            <w:vAlign w:val="center"/>
          </w:tcPr>
          <w:p>
            <w:pPr>
              <w:pStyle w:val="TableContents"/>
              <w:bidi w:val="0"/>
              <w:spacing w:before="0" w:after="283"/>
              <w:jc w:val="center"/>
              <w:rPr/>
            </w:pPr>
            <w:hyperlink w:anchor="use">
              <w:r>
                <w:rPr>
                  <w:rStyle w:val="InternetLink"/>
                </w:rPr>
                <w:t>4</w:t>
              </w:r>
            </w:hyperlink>
          </w:p>
        </w:tc>
      </w:tr>
      <w:tr>
        <w:trPr/>
        <w:tc>
          <w:tcPr>
            <w:tcW w:w="4670" w:type="dxa"/>
            <w:tcBorders/>
            <w:vAlign w:val="center"/>
          </w:tcPr>
          <w:p>
            <w:pPr>
              <w:pStyle w:val="TableContents"/>
              <w:bidi w:val="0"/>
              <w:spacing w:before="0" w:after="0"/>
              <w:ind w:left="0" w:right="0" w:hanging="0"/>
              <w:jc w:val="both"/>
              <w:rPr/>
            </w:pPr>
            <w:hyperlink w:anchor="dilut">
              <w:r>
                <w:rPr>
                  <w:rStyle w:val="InternetLink"/>
                  <w:rFonts w:ascii="Times New Roman" w:hAnsi="Times New Roman"/>
                  <w:caps w:val="false"/>
                  <w:smallCaps w:val="false"/>
                  <w:sz w:val="20"/>
                </w:rPr>
                <w:t>Dilution</w:t>
              </w:r>
            </w:hyperlink>
          </w:p>
        </w:tc>
        <w:tc>
          <w:tcPr>
            <w:tcW w:w="440" w:type="dxa"/>
            <w:tcBorders/>
            <w:vAlign w:val="center"/>
          </w:tcPr>
          <w:p>
            <w:pPr>
              <w:pStyle w:val="TableContents"/>
              <w:bidi w:val="0"/>
              <w:spacing w:before="0" w:after="283"/>
              <w:jc w:val="center"/>
              <w:rPr/>
            </w:pPr>
            <w:hyperlink w:anchor="dilut">
              <w:r>
                <w:rPr>
                  <w:rStyle w:val="InternetLink"/>
                </w:rPr>
                <w:t>5</w:t>
              </w:r>
            </w:hyperlink>
          </w:p>
        </w:tc>
      </w:tr>
      <w:tr>
        <w:trPr/>
        <w:tc>
          <w:tcPr>
            <w:tcW w:w="4670" w:type="dxa"/>
            <w:tcBorders/>
            <w:vAlign w:val="center"/>
          </w:tcPr>
          <w:p>
            <w:pPr>
              <w:pStyle w:val="TableContents"/>
              <w:bidi w:val="0"/>
              <w:spacing w:before="0" w:after="0"/>
              <w:ind w:left="0" w:right="0" w:hanging="0"/>
              <w:jc w:val="both"/>
              <w:rPr/>
            </w:pPr>
            <w:hyperlink w:anchor="dcap">
              <w:r>
                <w:rPr>
                  <w:rStyle w:val="InternetLink"/>
                  <w:rFonts w:ascii="Times New Roman" w:hAnsi="Times New Roman"/>
                  <w:caps w:val="false"/>
                  <w:smallCaps w:val="false"/>
                  <w:sz w:val="20"/>
                </w:rPr>
                <w:t>Description of Capital Stock</w:t>
              </w:r>
            </w:hyperlink>
          </w:p>
        </w:tc>
        <w:tc>
          <w:tcPr>
            <w:tcW w:w="440" w:type="dxa"/>
            <w:tcBorders/>
            <w:vAlign w:val="center"/>
          </w:tcPr>
          <w:p>
            <w:pPr>
              <w:pStyle w:val="TableContents"/>
              <w:bidi w:val="0"/>
              <w:spacing w:before="0" w:after="283"/>
              <w:jc w:val="center"/>
              <w:rPr/>
            </w:pPr>
            <w:hyperlink w:anchor="dcap">
              <w:r>
                <w:rPr>
                  <w:rStyle w:val="InternetLink"/>
                </w:rPr>
                <w:t>6</w:t>
              </w:r>
            </w:hyperlink>
          </w:p>
        </w:tc>
      </w:tr>
      <w:tr>
        <w:trPr/>
        <w:tc>
          <w:tcPr>
            <w:tcW w:w="4670" w:type="dxa"/>
            <w:tcBorders/>
            <w:vAlign w:val="center"/>
          </w:tcPr>
          <w:p>
            <w:pPr>
              <w:pStyle w:val="TableContents"/>
              <w:bidi w:val="0"/>
              <w:spacing w:before="0" w:after="0"/>
              <w:ind w:left="0" w:right="0" w:hanging="0"/>
              <w:jc w:val="both"/>
              <w:rPr/>
            </w:pPr>
            <w:hyperlink w:anchor="ddebt">
              <w:r>
                <w:rPr>
                  <w:rStyle w:val="InternetLink"/>
                  <w:rFonts w:ascii="Times New Roman" w:hAnsi="Times New Roman"/>
                  <w:caps w:val="false"/>
                  <w:smallCaps w:val="false"/>
                  <w:sz w:val="20"/>
                </w:rPr>
                <w:t>Description of Debt Securities</w:t>
              </w:r>
            </w:hyperlink>
          </w:p>
        </w:tc>
        <w:tc>
          <w:tcPr>
            <w:tcW w:w="440" w:type="dxa"/>
            <w:tcBorders/>
            <w:vAlign w:val="center"/>
          </w:tcPr>
          <w:p>
            <w:pPr>
              <w:pStyle w:val="TableContents"/>
              <w:bidi w:val="0"/>
              <w:spacing w:before="0" w:after="283"/>
              <w:jc w:val="center"/>
              <w:rPr/>
            </w:pPr>
            <w:hyperlink w:anchor="ddebt">
              <w:r>
                <w:rPr>
                  <w:rStyle w:val="InternetLink"/>
                </w:rPr>
                <w:t>10</w:t>
              </w:r>
            </w:hyperlink>
          </w:p>
        </w:tc>
      </w:tr>
      <w:tr>
        <w:trPr/>
        <w:tc>
          <w:tcPr>
            <w:tcW w:w="4670" w:type="dxa"/>
            <w:tcBorders/>
            <w:vAlign w:val="center"/>
          </w:tcPr>
          <w:p>
            <w:pPr>
              <w:pStyle w:val="TableContents"/>
              <w:bidi w:val="0"/>
              <w:spacing w:before="0" w:after="0"/>
              <w:ind w:left="0" w:right="0" w:hanging="0"/>
              <w:jc w:val="both"/>
              <w:rPr/>
            </w:pPr>
            <w:hyperlink w:anchor="dwarr">
              <w:r>
                <w:rPr>
                  <w:rStyle w:val="InternetLink"/>
                  <w:rFonts w:ascii="Times New Roman" w:hAnsi="Times New Roman"/>
                  <w:caps w:val="false"/>
                  <w:smallCaps w:val="false"/>
                  <w:sz w:val="20"/>
                </w:rPr>
                <w:t>Description of Warrants</w:t>
              </w:r>
            </w:hyperlink>
          </w:p>
        </w:tc>
        <w:tc>
          <w:tcPr>
            <w:tcW w:w="440" w:type="dxa"/>
            <w:tcBorders/>
            <w:vAlign w:val="center"/>
          </w:tcPr>
          <w:p>
            <w:pPr>
              <w:pStyle w:val="TableContents"/>
              <w:bidi w:val="0"/>
              <w:spacing w:before="0" w:after="283"/>
              <w:jc w:val="center"/>
              <w:rPr/>
            </w:pPr>
            <w:hyperlink w:anchor="dwarr">
              <w:r>
                <w:rPr>
                  <w:rStyle w:val="InternetLink"/>
                </w:rPr>
                <w:t>16</w:t>
              </w:r>
            </w:hyperlink>
          </w:p>
        </w:tc>
      </w:tr>
      <w:tr>
        <w:trPr/>
        <w:tc>
          <w:tcPr>
            <w:tcW w:w="4670" w:type="dxa"/>
            <w:tcBorders/>
            <w:vAlign w:val="center"/>
          </w:tcPr>
          <w:p>
            <w:pPr>
              <w:pStyle w:val="TableContents"/>
              <w:bidi w:val="0"/>
              <w:spacing w:before="0" w:after="0"/>
              <w:ind w:left="0" w:right="0" w:hanging="0"/>
              <w:jc w:val="both"/>
              <w:rPr/>
            </w:pPr>
            <w:hyperlink w:anchor="plan">
              <w:r>
                <w:rPr>
                  <w:rStyle w:val="InternetLink"/>
                  <w:rFonts w:ascii="Times New Roman" w:hAnsi="Times New Roman"/>
                  <w:caps w:val="false"/>
                  <w:smallCaps w:val="false"/>
                  <w:sz w:val="20"/>
                </w:rPr>
                <w:t>Plan of Distribution</w:t>
              </w:r>
            </w:hyperlink>
          </w:p>
        </w:tc>
        <w:tc>
          <w:tcPr>
            <w:tcW w:w="440" w:type="dxa"/>
            <w:tcBorders/>
            <w:vAlign w:val="center"/>
          </w:tcPr>
          <w:p>
            <w:pPr>
              <w:pStyle w:val="TableContents"/>
              <w:bidi w:val="0"/>
              <w:spacing w:before="0" w:after="283"/>
              <w:jc w:val="center"/>
              <w:rPr/>
            </w:pPr>
            <w:hyperlink w:anchor="plan">
              <w:r>
                <w:rPr>
                  <w:rStyle w:val="InternetLink"/>
                </w:rPr>
                <w:t>18</w:t>
              </w:r>
            </w:hyperlink>
          </w:p>
        </w:tc>
      </w:tr>
      <w:tr>
        <w:trPr/>
        <w:tc>
          <w:tcPr>
            <w:tcW w:w="4670" w:type="dxa"/>
            <w:tcBorders/>
            <w:vAlign w:val="center"/>
          </w:tcPr>
          <w:p>
            <w:pPr>
              <w:pStyle w:val="TableContents"/>
              <w:bidi w:val="0"/>
              <w:spacing w:before="0" w:after="0"/>
              <w:ind w:left="0" w:right="0" w:hanging="0"/>
              <w:jc w:val="both"/>
              <w:rPr/>
            </w:pPr>
            <w:hyperlink w:anchor="legal">
              <w:r>
                <w:rPr>
                  <w:rStyle w:val="InternetLink"/>
                  <w:rFonts w:ascii="Times New Roman" w:hAnsi="Times New Roman"/>
                  <w:caps w:val="false"/>
                  <w:smallCaps w:val="false"/>
                  <w:sz w:val="20"/>
                </w:rPr>
                <w:t>Legal Matters</w:t>
              </w:r>
            </w:hyperlink>
          </w:p>
        </w:tc>
        <w:tc>
          <w:tcPr>
            <w:tcW w:w="440" w:type="dxa"/>
            <w:tcBorders/>
            <w:vAlign w:val="center"/>
          </w:tcPr>
          <w:p>
            <w:pPr>
              <w:pStyle w:val="TableContents"/>
              <w:bidi w:val="0"/>
              <w:spacing w:before="0" w:after="283"/>
              <w:jc w:val="center"/>
              <w:rPr/>
            </w:pPr>
            <w:hyperlink w:anchor="legal">
              <w:r>
                <w:rPr>
                  <w:rStyle w:val="InternetLink"/>
                </w:rPr>
                <w:t>19</w:t>
              </w:r>
            </w:hyperlink>
          </w:p>
        </w:tc>
      </w:tr>
      <w:tr>
        <w:trPr/>
        <w:tc>
          <w:tcPr>
            <w:tcW w:w="4670" w:type="dxa"/>
            <w:tcBorders/>
            <w:vAlign w:val="center"/>
          </w:tcPr>
          <w:p>
            <w:pPr>
              <w:pStyle w:val="TableContents"/>
              <w:bidi w:val="0"/>
              <w:spacing w:before="0" w:after="0"/>
              <w:ind w:left="0" w:right="0" w:hanging="0"/>
              <w:jc w:val="both"/>
              <w:rPr/>
            </w:pPr>
            <w:hyperlink w:anchor="exp">
              <w:r>
                <w:rPr>
                  <w:rStyle w:val="InternetLink"/>
                  <w:rFonts w:ascii="Times New Roman" w:hAnsi="Times New Roman"/>
                  <w:caps w:val="false"/>
                  <w:smallCaps w:val="false"/>
                  <w:sz w:val="20"/>
                </w:rPr>
                <w:t>Experts</w:t>
              </w:r>
            </w:hyperlink>
          </w:p>
        </w:tc>
        <w:tc>
          <w:tcPr>
            <w:tcW w:w="440" w:type="dxa"/>
            <w:tcBorders/>
            <w:vAlign w:val="center"/>
          </w:tcPr>
          <w:p>
            <w:pPr>
              <w:pStyle w:val="TableContents"/>
              <w:bidi w:val="0"/>
              <w:spacing w:before="0" w:after="283"/>
              <w:jc w:val="center"/>
              <w:rPr/>
            </w:pPr>
            <w:hyperlink w:anchor="exp">
              <w:r>
                <w:rPr>
                  <w:rStyle w:val="InternetLink"/>
                </w:rPr>
                <w:t>19</w:t>
              </w:r>
            </w:hyperlink>
          </w:p>
        </w:tc>
      </w:tr>
      <w:tr>
        <w:trPr/>
        <w:tc>
          <w:tcPr>
            <w:tcW w:w="4670" w:type="dxa"/>
            <w:tcBorders/>
            <w:vAlign w:val="center"/>
          </w:tcPr>
          <w:p>
            <w:pPr>
              <w:pStyle w:val="TableContents"/>
              <w:bidi w:val="0"/>
              <w:spacing w:before="0" w:after="0"/>
              <w:ind w:left="0" w:right="0" w:hanging="0"/>
              <w:jc w:val="both"/>
              <w:rPr/>
            </w:pPr>
            <w:hyperlink w:anchor="where">
              <w:r>
                <w:rPr>
                  <w:rStyle w:val="InternetLink"/>
                  <w:rFonts w:ascii="Times New Roman" w:hAnsi="Times New Roman"/>
                  <w:caps w:val="false"/>
                  <w:smallCaps w:val="false"/>
                  <w:sz w:val="20"/>
                </w:rPr>
                <w:t>Where You Can Find More Information</w:t>
              </w:r>
            </w:hyperlink>
          </w:p>
        </w:tc>
        <w:tc>
          <w:tcPr>
            <w:tcW w:w="440" w:type="dxa"/>
            <w:tcBorders/>
            <w:vAlign w:val="center"/>
          </w:tcPr>
          <w:p>
            <w:pPr>
              <w:pStyle w:val="TableContents"/>
              <w:bidi w:val="0"/>
              <w:spacing w:before="0" w:after="283"/>
              <w:jc w:val="center"/>
              <w:rPr/>
            </w:pPr>
            <w:hyperlink w:anchor="where">
              <w:r>
                <w:rPr>
                  <w:rStyle w:val="InternetLink"/>
                </w:rPr>
                <w:t>19</w:t>
              </w:r>
            </w:hyperlink>
          </w:p>
        </w:tc>
      </w:tr>
      <w:tr>
        <w:trPr/>
        <w:tc>
          <w:tcPr>
            <w:tcW w:w="4670" w:type="dxa"/>
            <w:tcBorders/>
            <w:vAlign w:val="center"/>
          </w:tcPr>
          <w:p>
            <w:pPr>
              <w:pStyle w:val="TableContents"/>
              <w:bidi w:val="0"/>
              <w:spacing w:before="0" w:after="0"/>
              <w:ind w:left="0" w:right="0" w:hanging="0"/>
              <w:jc w:val="both"/>
              <w:rPr/>
            </w:pPr>
            <w:hyperlink w:anchor="important">
              <w:r>
                <w:rPr>
                  <w:rStyle w:val="InternetLink"/>
                  <w:rFonts w:ascii="Times New Roman" w:hAnsi="Times New Roman"/>
                  <w:caps w:val="false"/>
                  <w:smallCaps w:val="false"/>
                  <w:sz w:val="20"/>
                </w:rPr>
                <w:t>Important Information Incorporated by Reference</w:t>
              </w:r>
            </w:hyperlink>
          </w:p>
        </w:tc>
        <w:tc>
          <w:tcPr>
            <w:tcW w:w="440" w:type="dxa"/>
            <w:tcBorders/>
            <w:vAlign w:val="center"/>
          </w:tcPr>
          <w:p>
            <w:pPr>
              <w:pStyle w:val="TableContents"/>
              <w:bidi w:val="0"/>
              <w:spacing w:before="0" w:after="283"/>
              <w:jc w:val="center"/>
              <w:rPr/>
            </w:pPr>
            <w:hyperlink w:anchor="important">
              <w:r>
                <w:rPr>
                  <w:rStyle w:val="InternetLink"/>
                </w:rPr>
                <w:t>20</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 w:name="about"/>
      <w:bookmarkEnd w:id="3"/>
      <w:r>
        <w:rPr>
          <w:rFonts w:ascii="Times New Roman" w:hAnsi="Times New Roman"/>
          <w:b/>
          <w:caps w:val="false"/>
          <w:smallCaps w:val="false"/>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This prospectus is part of a registration statement that we filed with the Securities and Exchange Commission, or the Commission, using a “shelf” registration process. Under this shelf registration process, from time to time, we may sell any combination of the securities described in this prospectus in one or more offerings. This prospectus provides you with a general description of the securities we may offer. Each time we offer and sell securities under this prospectus, we will provide a prospectus supplement that will contain more specific information about the terms of the applicable offering. The prospectus supplement may include a discussion of risks or other special considerations applicable to us or the offered securities.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the information contained in this prospectus or in the documents incorporated by reference into this prospectus. If there is any inconsistency between the information in this prospectus and the applicable prospectus supplement, you must rely on the information in the prospectus supplement. We urge you to carefully read this prospectus, any applicable prospectus supplement and any related free writing prospectus, together with the information incorporated herein by reference as described under the headings “Where You Can Find More Information” and “Incorporation of Information by Reference” before buying any of the securities being offered. </w:t>
      </w:r>
      <w:r>
        <w:rPr>
          <w:rFonts w:ascii="Times New Roman" w:hAnsi="Times New Roman"/>
          <w:b/>
          <w:caps w:val="false"/>
          <w:smallCaps w:val="false"/>
          <w:sz w:val="20"/>
        </w:rPr>
        <w:t>THIS PROSPECTUS MAY NOT BE USED TO CONSUMMATE A SALE OF SECURITIES UNLESS IT IS ACCOMPANIED BY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in, or incorporated by reference into, this prospectus or any applicable prospectus supplement, along with the information contained in any related free writing prospectus that we have authorized for use in connection with a specific offering. We have not authorized anyone to provide you with different information. No dealer, salesperson or other person is authorized to give any information or to represent anything not contained in this prospectus, any applicable prospectus supplement or any related free writing prospectus that we may authorize to be provided to you. You must not rely on any unauthorized information or representation. The information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the context requires otherwise or unless otherwise indicated, all references to “Creative Realities,” the “Company,” “we,” “our,” or “us” refer collectively to Creative Realities, Inc.</w:t>
      </w:r>
    </w:p>
    <w:p>
      <w:pPr>
        <w:pStyle w:val="TextBody"/>
        <w:bidi w:val="0"/>
        <w:spacing w:before="0" w:after="283"/>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prospectus does not constitute, and any prospectus supplement or other offering materials related to an offering of securities described in this prospectus will not constitute, an offer to sell, or a solicitation of an offer to purchase, the offered securities in any jurisdiction to or from any person to whom or from whom it is unlawful to make such offer or solicitation in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bdr w:val="single" w:sz="2" w:space="8" w:color="000000"/>
        </w:rPr>
      </w:pPr>
      <w:r>
        <w:rPr>
          <w:bdr w:val="single" w:sz="2" w:space="8" w:color="000000"/>
        </w:rPr>
        <w:t> </w:t>
      </w:r>
    </w:p>
    <w:p>
      <w:pPr>
        <w:pStyle w:val="TextBody"/>
        <w:bidi w:val="0"/>
        <w:spacing w:before="0" w:after="0"/>
        <w:ind w:left="0" w:right="0" w:hanging="0"/>
        <w:jc w:val="center"/>
        <w:rPr>
          <w:rFonts w:ascii="Times New Roman" w:hAnsi="Times New Roman"/>
          <w:b/>
          <w:caps w:val="false"/>
          <w:smallCaps w:val="false"/>
          <w:sz w:val="20"/>
          <w:bdr w:val="single" w:sz="2" w:space="8" w:color="000000"/>
        </w:rPr>
      </w:pPr>
      <w:bookmarkStart w:id="4" w:name="company"/>
      <w:bookmarkEnd w:id="4"/>
      <w:r>
        <w:rPr>
          <w:rFonts w:ascii="Times New Roman" w:hAnsi="Times New Roman"/>
          <w:b/>
          <w:caps w:val="false"/>
          <w:smallCaps w:val="false"/>
          <w:sz w:val="20"/>
          <w:bdr w:val="single" w:sz="2" w:space="8" w:color="000000"/>
        </w:rPr>
        <w:t>THE COMPANY</w:t>
      </w:r>
    </w:p>
    <w:p>
      <w:pPr>
        <w:pStyle w:val="TextBody"/>
        <w:bidi w:val="0"/>
        <w:jc w:val="left"/>
        <w:rPr>
          <w:bdr w:val="single" w:sz="2" w:space="8" w:color="000000"/>
        </w:rPr>
      </w:pPr>
      <w:r>
        <w:rPr>
          <w:bdr w:val="single" w:sz="2" w:space="8" w:color="000000"/>
        </w:rPr>
        <w:t> </w:t>
      </w:r>
    </w:p>
    <w:p>
      <w:pPr>
        <w:pStyle w:val="TextBody"/>
        <w:bidi w:val="0"/>
        <w:spacing w:before="0" w:after="0"/>
        <w:ind w:left="0" w:right="0" w:firstLine="36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Creative Realities, Inc. (“Creative Realities,” the “Company,” “we,” “us,” “our,” and similar expressions) transforms environments through digital solutions by providing innovative digital signage solutions for key market segments and use cases, including:</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805" w:type="dxa"/>
        <w:jc w:val="left"/>
        <w:tblInd w:w="0" w:type="dxa"/>
        <w:tblLayout w:type="fixed"/>
        <w:tblCellMar>
          <w:top w:w="0" w:type="dxa"/>
          <w:left w:w="0" w:type="dxa"/>
          <w:bottom w:w="0" w:type="dxa"/>
          <w:right w:w="0" w:type="dxa"/>
        </w:tblCellMar>
      </w:tblPr>
      <w:tblGrid>
        <w:gridCol w:w="60"/>
        <w:gridCol w:w="170"/>
        <w:gridCol w:w="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Retail;</w:t>
            </w:r>
          </w:p>
        </w:tc>
      </w:tr>
    </w:tbl>
    <w:tbl>
      <w:tblPr>
        <w:tblW w:w="3010" w:type="dxa"/>
        <w:jc w:val="left"/>
        <w:tblInd w:w="0" w:type="dxa"/>
        <w:tblLayout w:type="fixed"/>
        <w:tblCellMar>
          <w:top w:w="0" w:type="dxa"/>
          <w:left w:w="0" w:type="dxa"/>
          <w:bottom w:w="0" w:type="dxa"/>
          <w:right w:w="0" w:type="dxa"/>
        </w:tblCellMar>
      </w:tblPr>
      <w:tblGrid>
        <w:gridCol w:w="60"/>
        <w:gridCol w:w="170"/>
        <w:gridCol w:w="2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Entertainment and Sports Venues;</w:t>
            </w:r>
          </w:p>
        </w:tc>
      </w:tr>
    </w:tbl>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Restaurants, including Quick Service Restaurants (“QSR”);</w:t>
            </w:r>
          </w:p>
        </w:tc>
      </w:tr>
    </w:tbl>
    <w:tbl>
      <w:tblPr>
        <w:tblW w:w="1930" w:type="dxa"/>
        <w:jc w:val="left"/>
        <w:tblInd w:w="0" w:type="dxa"/>
        <w:tblLayout w:type="fixed"/>
        <w:tblCellMar>
          <w:top w:w="0" w:type="dxa"/>
          <w:left w:w="0" w:type="dxa"/>
          <w:bottom w:w="0" w:type="dxa"/>
          <w:right w:w="0" w:type="dxa"/>
        </w:tblCellMar>
      </w:tblPr>
      <w:tblGrid>
        <w:gridCol w:w="60"/>
        <w:gridCol w:w="170"/>
        <w:gridCol w:w="1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Convenience Stores;</w:t>
            </w:r>
          </w:p>
        </w:tc>
      </w:tr>
    </w:tbl>
    <w:tbl>
      <w:tblPr>
        <w:tblW w:w="1795" w:type="dxa"/>
        <w:jc w:val="left"/>
        <w:tblInd w:w="0" w:type="dxa"/>
        <w:tblLayout w:type="fixed"/>
        <w:tblCellMar>
          <w:top w:w="0" w:type="dxa"/>
          <w:left w:w="0" w:type="dxa"/>
          <w:bottom w:w="0" w:type="dxa"/>
          <w:right w:w="0" w:type="dxa"/>
        </w:tblCellMar>
      </w:tblPr>
      <w:tblGrid>
        <w:gridCol w:w="60"/>
        <w:gridCol w:w="170"/>
        <w:gridCol w:w="15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5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Financial Services;</w:t>
            </w:r>
          </w:p>
        </w:tc>
      </w:tr>
    </w:tbl>
    <w:tbl>
      <w:tblPr>
        <w:tblW w:w="1285" w:type="dxa"/>
        <w:jc w:val="left"/>
        <w:tblInd w:w="0" w:type="dxa"/>
        <w:tblLayout w:type="fixed"/>
        <w:tblCellMar>
          <w:top w:w="0" w:type="dxa"/>
          <w:left w:w="0" w:type="dxa"/>
          <w:bottom w:w="0" w:type="dxa"/>
          <w:right w:w="0" w:type="dxa"/>
        </w:tblCellMar>
      </w:tblPr>
      <w:tblGrid>
        <w:gridCol w:w="60"/>
        <w:gridCol w:w="170"/>
        <w:gridCol w:w="10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Automotive;</w:t>
            </w:r>
          </w:p>
        </w:tc>
      </w:tr>
    </w:tbl>
    <w:tbl>
      <w:tblPr>
        <w:tblW w:w="910" w:type="dxa"/>
        <w:jc w:val="left"/>
        <w:tblInd w:w="0" w:type="dxa"/>
        <w:tblLayout w:type="fixed"/>
        <w:tblCellMar>
          <w:top w:w="0" w:type="dxa"/>
          <w:left w:w="0" w:type="dxa"/>
          <w:bottom w:w="0" w:type="dxa"/>
          <w:right w:w="0" w:type="dxa"/>
        </w:tblCellMar>
      </w:tblPr>
      <w:tblGrid>
        <w:gridCol w:w="60"/>
        <w:gridCol w:w="170"/>
        <w:gridCol w:w="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Lottery;</w:t>
            </w:r>
          </w:p>
        </w:tc>
      </w:tr>
    </w:tbl>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Mixed Use Developments; and</w:t>
            </w:r>
          </w:p>
        </w:tc>
      </w:tr>
    </w:tbl>
    <w:tbl>
      <w:tblPr>
        <w:tblW w:w="4570" w:type="dxa"/>
        <w:jc w:val="left"/>
        <w:tblInd w:w="0" w:type="dxa"/>
        <w:tblLayout w:type="fixed"/>
        <w:tblCellMar>
          <w:top w:w="0" w:type="dxa"/>
          <w:left w:w="0" w:type="dxa"/>
          <w:bottom w:w="0" w:type="dxa"/>
          <w:right w:w="0" w:type="dxa"/>
        </w:tblCellMar>
      </w:tblPr>
      <w:tblGrid>
        <w:gridCol w:w="60"/>
        <w:gridCol w:w="170"/>
        <w:gridCol w:w="43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3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out of Home (“DOOH”) Advertising Networks</w:t>
            </w:r>
          </w:p>
        </w:tc>
      </w:tr>
    </w:tbl>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36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brand awareness;</w:t>
            </w:r>
          </w:p>
        </w:tc>
      </w:tr>
    </w:tbl>
    <w:tbl>
      <w:tblPr>
        <w:tblW w:w="2530" w:type="dxa"/>
        <w:jc w:val="left"/>
        <w:tblInd w:w="0" w:type="dxa"/>
        <w:tblLayout w:type="fixed"/>
        <w:tblCellMar>
          <w:top w:w="0" w:type="dxa"/>
          <w:left w:w="0" w:type="dxa"/>
          <w:bottom w:w="0" w:type="dxa"/>
          <w:right w:w="0" w:type="dxa"/>
        </w:tblCellMar>
      </w:tblPr>
      <w:tblGrid>
        <w:gridCol w:w="60"/>
        <w:gridCol w:w="170"/>
        <w:gridCol w:w="2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customer support;</w:t>
            </w:r>
          </w:p>
        </w:tc>
      </w:tr>
    </w:tbl>
    <w:tbl>
      <w:tblPr>
        <w:tblW w:w="4345" w:type="dxa"/>
        <w:jc w:val="left"/>
        <w:tblInd w:w="0" w:type="dxa"/>
        <w:tblLayout w:type="fixed"/>
        <w:tblCellMar>
          <w:top w:w="0" w:type="dxa"/>
          <w:left w:w="0" w:type="dxa"/>
          <w:bottom w:w="0" w:type="dxa"/>
          <w:right w:w="0" w:type="dxa"/>
        </w:tblCellMar>
      </w:tblPr>
      <w:tblGrid>
        <w:gridCol w:w="60"/>
        <w:gridCol w:w="170"/>
        <w:gridCol w:w="4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Enhanced employee productivity and satisfaction;</w:t>
            </w:r>
          </w:p>
        </w:tc>
      </w:tr>
    </w:tbl>
    <w:tbl>
      <w:tblPr>
        <w:tblW w:w="3145" w:type="dxa"/>
        <w:jc w:val="left"/>
        <w:tblInd w:w="0" w:type="dxa"/>
        <w:tblLayout w:type="fixed"/>
        <w:tblCellMar>
          <w:top w:w="0" w:type="dxa"/>
          <w:left w:w="0" w:type="dxa"/>
          <w:bottom w:w="0" w:type="dxa"/>
          <w:right w:w="0" w:type="dxa"/>
        </w:tblCellMar>
      </w:tblPr>
      <w:tblGrid>
        <w:gridCol w:w="60"/>
        <w:gridCol w:w="170"/>
        <w:gridCol w:w="29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revenue and profitability;</w:t>
            </w:r>
          </w:p>
        </w:tc>
      </w:tr>
    </w:tbl>
    <w:tbl>
      <w:tblPr>
        <w:tblW w:w="2500" w:type="dxa"/>
        <w:jc w:val="left"/>
        <w:tblInd w:w="0" w:type="dxa"/>
        <w:tblLayout w:type="fixed"/>
        <w:tblCellMar>
          <w:top w:w="0" w:type="dxa"/>
          <w:left w:w="0" w:type="dxa"/>
          <w:bottom w:w="0" w:type="dxa"/>
          <w:right w:w="0" w:type="dxa"/>
        </w:tblCellMar>
      </w:tblPr>
      <w:tblGrid>
        <w:gridCol w:w="60"/>
        <w:gridCol w:w="170"/>
        <w:gridCol w:w="2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Improved guest experience;</w:t>
            </w:r>
          </w:p>
        </w:tc>
      </w:tr>
    </w:tbl>
    <w:tbl>
      <w:tblPr>
        <w:tblW w:w="3730" w:type="dxa"/>
        <w:jc w:val="left"/>
        <w:tblInd w:w="0" w:type="dxa"/>
        <w:tblLayout w:type="fixed"/>
        <w:tblCellMar>
          <w:top w:w="0" w:type="dxa"/>
          <w:left w:w="0" w:type="dxa"/>
          <w:bottom w:w="0" w:type="dxa"/>
          <w:right w:w="0" w:type="dxa"/>
        </w:tblCellMar>
      </w:tblPr>
      <w:tblGrid>
        <w:gridCol w:w="60"/>
        <w:gridCol w:w="170"/>
        <w:gridCol w:w="3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customer/guest engagement; and</w:t>
            </w:r>
          </w:p>
        </w:tc>
      </w:tr>
    </w:tbl>
    <w:tbl>
      <w:tblPr>
        <w:tblW w:w="2755" w:type="dxa"/>
        <w:jc w:val="left"/>
        <w:tblInd w:w="0" w:type="dxa"/>
        <w:tblLayout w:type="fixed"/>
        <w:tblCellMar>
          <w:top w:w="0" w:type="dxa"/>
          <w:left w:w="0" w:type="dxa"/>
          <w:bottom w:w="0" w:type="dxa"/>
          <w:right w:w="0" w:type="dxa"/>
        </w:tblCellMar>
      </w:tblPr>
      <w:tblGrid>
        <w:gridCol w:w="60"/>
        <w:gridCol w:w="170"/>
        <w:gridCol w:w="2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Traffic content and advertising</w:t>
            </w:r>
          </w:p>
        </w:tc>
      </w:tr>
    </w:tbl>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36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Through a combination of organically grown platforms and a series of strategic acquisitions, the Company assists customers to design, deploy, manage, and monetize their digital signage and in-store retail media networks. The Company sources leads and opportunities for its solutions through its digital and content marketing initiatives, close relationships with key industry partners, including equipment manufacturers and a media sales agent, and the direct efforts of its in-house industry sales experts. Customer engagements focus on consultative conversations that ensure the Company’s solutions are positioned to help customers achieve their business objectives in the most cost-effective manner possible.</w:t>
      </w:r>
    </w:p>
    <w:p>
      <w:pPr>
        <w:pStyle w:val="TextBody"/>
        <w:bidi w:val="0"/>
        <w:jc w:val="left"/>
        <w:rPr>
          <w:bdr w:val="single" w:sz="2" w:space="8" w:color="000000"/>
        </w:rPr>
      </w:pPr>
      <w:r>
        <w:rPr>
          <w:bdr w:val="single" w:sz="2" w:space="8" w:color="000000"/>
        </w:rPr>
        <w:t> </w:t>
      </w:r>
    </w:p>
    <w:p>
      <w:pPr>
        <w:pStyle w:val="TextBody"/>
        <w:bidi w:val="0"/>
        <w:spacing w:before="0" w:after="0"/>
        <w:ind w:left="0" w:right="0" w:hanging="0"/>
        <w:jc w:val="both"/>
        <w:rPr>
          <w:rFonts w:ascii="Times New Roman" w:hAnsi="Times New Roman"/>
          <w:b/>
          <w:caps w:val="false"/>
          <w:smallCaps w:val="false"/>
          <w:sz w:val="20"/>
          <w:bdr w:val="single" w:sz="2" w:space="8" w:color="000000"/>
        </w:rPr>
      </w:pPr>
      <w:r>
        <w:rPr>
          <w:rFonts w:ascii="Times New Roman" w:hAnsi="Times New Roman"/>
          <w:b/>
          <w:caps w:val="false"/>
          <w:smallCaps w:val="false"/>
          <w:sz w:val="20"/>
          <w:bdr w:val="single" w:sz="2" w:space="8" w:color="000000"/>
        </w:rPr>
        <w:t>Corporate Organization</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36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Our principal offices are located at 13100 Magisterial Drive, Suite 201, Louisville, Kentucky 40223, and our telephone number at that office is (502) 791-8800.</w:t>
      </w:r>
    </w:p>
    <w:p>
      <w:pPr>
        <w:pStyle w:val="TextBody"/>
        <w:bidi w:val="0"/>
        <w:spacing w:before="0" w:after="0"/>
        <w:ind w:left="0" w:right="0" w:hanging="0"/>
        <w:jc w:val="left"/>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firstLine="360"/>
        <w:jc w:val="both"/>
        <w:rPr>
          <w:rFonts w:ascii="Times New Roman" w:hAnsi="Times New Roman"/>
          <w:caps w:val="false"/>
          <w:smallCaps w:val="false"/>
          <w:sz w:val="20"/>
          <w:bdr w:val="single" w:sz="2" w:space="8" w:color="000000"/>
        </w:rPr>
      </w:pPr>
      <w:r>
        <w:rPr>
          <w:rFonts w:ascii="Times New Roman" w:hAnsi="Times New Roman"/>
          <w:caps w:val="false"/>
          <w:smallCaps w:val="false"/>
          <w:sz w:val="20"/>
          <w:bdr w:val="single" w:sz="2" w:space="8" w:color="000000"/>
        </w:rPr>
        <w:t>We originally incorporated and organized as a Minnesota corporation under the name “Wireless Ronin Technologies, Inc.” in March 2003 and focused on our expertise in digital media marketing solutions, including digital signage, interactive kiosks, mobile, social media and web-based media solutions. We acquired the interactive marketing technology business that we currently operate in a 2014 merger with Creative Realities, LLC. Shortly after that merger, we changed our corporate name from “Wireless Ronin Technologies, Inc.” to “Creative Realities, Inc.” On October 15, 2015, we acquired the systems integration and marketing technology business of ConeXus World Global, LLC. On November 20, 2018, we acquired Allure, an enterprise software development company. On February 17, 2022, we acquired Reflect Systems, Inc. On November 7, 2025, we acquired DDC Group International, Inc., a wholly owned subsidiary of Cineplex Entertainment Limited Partnership (“DDC”). DDC was the parent company of its wholly owned subsidiary, Cineplex Digital Media Inc. (“CDM”) and CDM’s wholly owned subsidiary, Cineplex Digital Media U.S. Inc. (“CDMUS”), which we collectively refer to as the “CDM Business.”</w:t>
      </w:r>
    </w:p>
    <w:p>
      <w:pPr>
        <w:pStyle w:val="TextBody"/>
        <w:bidi w:val="0"/>
        <w:spacing w:before="0" w:after="0"/>
        <w:ind w:left="0" w:right="0" w:hanging="0"/>
        <w:jc w:val="center"/>
        <w:rPr>
          <w:caps w:val="false"/>
          <w:smallCaps w:val="false"/>
          <w:bdr w:val="single" w:sz="2" w:space="8" w:color="000000"/>
        </w:rPr>
      </w:pPr>
      <w:r>
        <w:rPr>
          <w:caps w:val="false"/>
          <w:smallCaps w:val="false"/>
          <w:bdr w:val="single" w:sz="2" w:space="8" w:color="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5" w:name="risk"/>
      <w:bookmarkEnd w:id="5"/>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Investing in our securities involves a high degree of risk. Before deciding whether to purchase any of the securities being offered, you should carefully review the risks and uncertainties described under the heading “Risk Factors” contained in the applicable prospectus supplement and any related free writing prospectus, and under similar headings in the other documents that are incorporated by reference into this prospectus and the applicable prospectus supplement. Each of the risk factors could adversely affect our business, operating results and financial condition, as well as adversely affect the value of an investment in our securities, and the occurrence of any of these risks might cause you to lose all or part of your investment. Moreover, the risks described are not the only ones that we face. Additional risks not presently known to us or that we currently believe are immaterial may also significantly impair our business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 w:name="caution"/>
      <w:bookmarkEnd w:id="6"/>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and the documents incorporated by reference herein contain, and any prospectus supplement or free writing prospectus may contain, forward-looking statements within the meaning of Section 27A of the Securities Act of 1933, as amended, or the Securities Act, and Section 21E of the Securities Exchange Act of 1934, as amended, or the Exchange Act. All statements other than statements of historical facts contained in this prospectus and the documents incorporated by reference herein contain, and any prospectus supplement or free writing prospectus, are forward-looking statements. These statements relate to future events or to our future financial performance and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may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adequacy of funds for future operations;</w:t>
            </w:r>
          </w:p>
        </w:tc>
      </w:tr>
    </w:tbl>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future expenses, revenue and profitability;</w:t>
            </w:r>
          </w:p>
        </w:tc>
      </w:tr>
    </w:tbl>
    <w:tbl>
      <w:tblPr>
        <w:tblW w:w="5200" w:type="dxa"/>
        <w:jc w:val="left"/>
        <w:tblInd w:w="0" w:type="dxa"/>
        <w:tblLayout w:type="fixed"/>
        <w:tblCellMar>
          <w:top w:w="0" w:type="dxa"/>
          <w:left w:w="0" w:type="dxa"/>
          <w:bottom w:w="0" w:type="dxa"/>
          <w:right w:w="0" w:type="dxa"/>
        </w:tblCellMar>
      </w:tblPr>
      <w:tblGrid>
        <w:gridCol w:w="60"/>
        <w:gridCol w:w="170"/>
        <w:gridCol w:w="4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trends affecting financial condition and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to convert proposals and pilot projects into customer orders, including our ability to realize the revenues included in our future guidance and backlog reports;</w:t>
            </w:r>
          </w:p>
        </w:tc>
      </w:tr>
    </w:tbl>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economic conditions and outlook;</w:t>
            </w:r>
          </w:p>
        </w:tc>
      </w:tr>
    </w:tbl>
    <w:tbl>
      <w:tblPr>
        <w:tblW w:w="5560" w:type="dxa"/>
        <w:jc w:val="left"/>
        <w:tblInd w:w="0" w:type="dxa"/>
        <w:tblLayout w:type="fixed"/>
        <w:tblCellMar>
          <w:top w:w="0" w:type="dxa"/>
          <w:left w:w="0" w:type="dxa"/>
          <w:bottom w:w="0" w:type="dxa"/>
          <w:right w:w="0" w:type="dxa"/>
        </w:tblCellMar>
      </w:tblPr>
      <w:tblGrid>
        <w:gridCol w:w="60"/>
        <w:gridCol w:w="170"/>
        <w:gridCol w:w="5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of customers to pay for products and services received;</w:t>
            </w:r>
          </w:p>
        </w:tc>
      </w:tr>
    </w:tbl>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to satisfy our upcoming debt obligations and other liabilities;</w:t>
            </w:r>
          </w:p>
        </w:tc>
      </w:tr>
    </w:tbl>
    <w:tbl>
      <w:tblPr>
        <w:tblW w:w="6205" w:type="dxa"/>
        <w:jc w:val="left"/>
        <w:tblInd w:w="0" w:type="dxa"/>
        <w:tblLayout w:type="fixed"/>
        <w:tblCellMar>
          <w:top w:w="0" w:type="dxa"/>
          <w:left w:w="0" w:type="dxa"/>
          <w:bottom w:w="0" w:type="dxa"/>
          <w:right w:w="0" w:type="dxa"/>
        </w:tblCellMar>
      </w:tblPr>
      <w:tblGrid>
        <w:gridCol w:w="60"/>
        <w:gridCol w:w="170"/>
        <w:gridCol w:w="5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impact of changing customer requirements upon revenue recognition;</w:t>
            </w:r>
          </w:p>
        </w:tc>
      </w:tr>
    </w:tbl>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customer cancellations;</w:t>
            </w:r>
          </w:p>
        </w:tc>
      </w:tr>
    </w:tbl>
    <w:tbl>
      <w:tblPr>
        <w:tblW w:w="4075" w:type="dxa"/>
        <w:jc w:val="left"/>
        <w:tblInd w:w="0" w:type="dxa"/>
        <w:tblLayout w:type="fixed"/>
        <w:tblCellMar>
          <w:top w:w="0" w:type="dxa"/>
          <w:left w:w="0" w:type="dxa"/>
          <w:bottom w:w="0" w:type="dxa"/>
          <w:right w:w="0" w:type="dxa"/>
        </w:tblCellMar>
      </w:tblPr>
      <w:tblGrid>
        <w:gridCol w:w="60"/>
        <w:gridCol w:w="170"/>
        <w:gridCol w:w="3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availability and terms of additional capital;</w:t>
            </w:r>
          </w:p>
        </w:tc>
      </w:tr>
    </w:tbl>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of the Company to continue as a going concern;</w:t>
            </w:r>
          </w:p>
        </w:tc>
      </w:tr>
    </w:tbl>
    <w:tbl>
      <w:tblPr>
        <w:tblW w:w="4270" w:type="dxa"/>
        <w:jc w:val="left"/>
        <w:tblInd w:w="0" w:type="dxa"/>
        <w:tblLayout w:type="fixed"/>
        <w:tblCellMar>
          <w:top w:w="0" w:type="dxa"/>
          <w:left w:w="0" w:type="dxa"/>
          <w:bottom w:w="0" w:type="dxa"/>
          <w:right w:w="0" w:type="dxa"/>
        </w:tblCellMar>
      </w:tblPr>
      <w:tblGrid>
        <w:gridCol w:w="60"/>
        <w:gridCol w:w="170"/>
        <w:gridCol w:w="4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industry trends and the competitive environment;</w:t>
            </w:r>
          </w:p>
        </w:tc>
      </w:tr>
    </w:tbl>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the Company’s financial condition upon customer and prospective customer relationships;</w:t>
            </w:r>
          </w:p>
        </w:tc>
      </w:tr>
    </w:tbl>
    <w:tbl>
      <w:tblPr>
        <w:tblW w:w="6910" w:type="dxa"/>
        <w:jc w:val="left"/>
        <w:tblInd w:w="0" w:type="dxa"/>
        <w:tblLayout w:type="fixed"/>
        <w:tblCellMar>
          <w:top w:w="0" w:type="dxa"/>
          <w:left w:w="0" w:type="dxa"/>
          <w:bottom w:w="0" w:type="dxa"/>
          <w:right w:w="0" w:type="dxa"/>
        </w:tblCellMar>
      </w:tblPr>
      <w:tblGrid>
        <w:gridCol w:w="60"/>
        <w:gridCol w:w="170"/>
        <w:gridCol w:w="6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potential litigation and regulatory actions directed toward our industry in general;</w:t>
            </w:r>
          </w:p>
        </w:tc>
      </w:tr>
    </w:tbl>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influence of our shareholder(s) with the greatest beneficial ownership of our common stock;</w:t>
            </w:r>
          </w:p>
        </w:tc>
      </w:tr>
    </w:tbl>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reliance on certain key personnel in the management of our businesses;</w:t>
            </w:r>
          </w:p>
        </w:tc>
      </w:tr>
    </w:tbl>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employee and management turnover;</w:t>
            </w:r>
          </w:p>
        </w:tc>
      </w:tr>
    </w:tbl>
    <w:tbl>
      <w:tblPr>
        <w:tblW w:w="7165" w:type="dxa"/>
        <w:jc w:val="left"/>
        <w:tblInd w:w="0" w:type="dxa"/>
        <w:tblLayout w:type="fixed"/>
        <w:tblCellMar>
          <w:top w:w="0" w:type="dxa"/>
          <w:left w:w="0" w:type="dxa"/>
          <w:bottom w:w="0" w:type="dxa"/>
          <w:right w:w="0" w:type="dxa"/>
        </w:tblCellMar>
      </w:tblPr>
      <w:tblGrid>
        <w:gridCol w:w="60"/>
        <w:gridCol w:w="170"/>
        <w:gridCol w:w="69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existence of any material weaknesses in internal controls over financial reporting;</w:t>
            </w:r>
          </w:p>
        </w:tc>
      </w:tr>
    </w:tbl>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inability to successfully integrate the operations of acquired companies; and</w:t>
            </w:r>
          </w:p>
        </w:tc>
      </w:tr>
    </w:tbl>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ability to remain listed on 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some cases, you can identify forward-looking statements by terms such as “may,” “will,” “should,” “intend,” “could,” “would,” “expects,” “plans,” “anticipates,” “believes,” “estimates,” “projects,” “predicts,” “potential,” “propose,” and similar expressions (or the negative versions of such words or expressions) intended to identify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under the heading “Risk Factors” in the applicable prospectus supplement or free writing prospectus and in our reports filed from time to time under the Securities Act and/or the Exchange Act. We encourage you to read these filings as they are made. Also, these forward-looking statements represent our estimates and assumptions only as of the date of the document containing the applicable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should read this prospectus, the documents incorporated by reference herein, and any prospectus supplement that we have authorized for use in connection with this offering completely and with the understanding that our actual future results may be materially different from what we expect. We qualify all of the forward-looking statements in the foregoing documents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required by law, we undertake no obligation to update or revise any forward-looking statements to reflect new information or future events or developments. Thus, you should not assume that our silence over time means that actual events are bearing out as expressed or implied in such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7" w:name="use"/>
      <w:bookmarkEnd w:id="7"/>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retain broad discretion over the use of the net proceeds from the sale of our securities offered by this prospectus. Unless we indicate otherwise in the applicable prospectus supplement or in any related free writing prospectus we have authorized for use in connection with a specific offering, we anticipate that any net proceeds will be used for working capital and general corporate purposes. We will set forth in the applicable prospectus supplement or free writing prospectus our intended use for the net proceeds received from the sale of securities sold pursuant to that prospectus supplement or free writing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8" w:name="dilut"/>
      <w:bookmarkEnd w:id="8"/>
      <w:r>
        <w:rPr>
          <w:rFonts w:ascii="Times New Roman" w:hAnsi="Times New Roman"/>
          <w:b/>
          <w:caps w:val="false"/>
          <w:smallCaps w:val="false"/>
          <w:sz w:val="20"/>
        </w:rPr>
        <w:t>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set forth in a prospectus supplement the following information regarding any material dilution of the equity interests of investors purchasing securities in an offering under this prospectus: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60"/>
        <w:gridCol w:w="170"/>
        <w:gridCol w:w="72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net tangible book value per share of our equity securities before and after the offering;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 of the increase in such net tangible book value per share attributable to the cash payments made by purchasers in the offering; and</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60"/>
        <w:gridCol w:w="170"/>
        <w:gridCol w:w="90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 of the immediate dilution from the public offering price which will be absorbed by such purchasers.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9" w:name="dcap"/>
      <w:bookmarkEnd w:id="9"/>
      <w:r>
        <w:rPr>
          <w:rFonts w:ascii="Times New Roman" w:hAnsi="Times New Roman"/>
          <w:b/>
          <w:caps w:val="false"/>
          <w:smallCaps w:val="false"/>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authorized capital consists of 116,666,666 shares of capital stock, $0.01 par value per share, comprised of 66,666,666 shares of common stock and 50,000,000 shares of preferred stock. As of June 2, 2026, there were 10,567,268 shares of our common stock issued and outstanding and 30,000 shares of preferred stock were designated as Series A Convertible Preferred Stock (the “Series A Preferred Shares”) all of which were issued and outstanding. Our common stock is listed on the NASDAQ Capital Market under the symbol “CREX.”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description summarizes the material terms of our capital stock. This summary is, however, subject to the provisions of our articles of incorporation and bylaws. For greater detail about our capital stock, please refer to our articles of incorporation and bylaws and the applicable provisions of Minnesota law. The following description summarizes the material terms of our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Voting.</w:t>
      </w:r>
      <w:r>
        <w:rPr>
          <w:rFonts w:ascii="Times New Roman" w:hAnsi="Times New Roman"/>
          <w:caps w:val="false"/>
          <w:smallCaps w:val="false"/>
          <w:sz w:val="20"/>
        </w:rPr>
        <w:t xml:space="preserve"> The holders of our common stock are entitled to one vote for each outstanding share of common stock owned by that shareholder on every matter properly submitted to the shareholders for their vote. Shareholders are not entitled to vote cumulatively for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Dividend Rights.</w:t>
      </w:r>
      <w:r>
        <w:rPr>
          <w:rFonts w:ascii="Times New Roman" w:hAnsi="Times New Roman"/>
          <w:caps w:val="false"/>
          <w:smallCaps w:val="false"/>
          <w:sz w:val="20"/>
        </w:rPr>
        <w:t xml:space="preserve"> Subject to the dividend rights of the holders of any outstanding series of preferred stock, holders of our common stock are entitled to receive ratably such dividends and other distributions of cash or any other right or property as may be declared by our Board of Directors out of our assets or funds legally available for such 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Liquidation Rights.</w:t>
      </w:r>
      <w:r>
        <w:rPr>
          <w:rFonts w:ascii="Times New Roman" w:hAnsi="Times New Roman"/>
          <w:caps w:val="false"/>
          <w:smallCaps w:val="false"/>
          <w:sz w:val="20"/>
        </w:rPr>
        <w:t xml:space="preserve"> In the event of any voluntary or involuntary liquidation, dissolution or winding up of our affairs, holders of our common stock would be entitled to share ratably in our assets that are legally available for distribution to shareholders after payment of liabilities and after the satisfaction of any liquidation preference owed to the holders of any outstanding series of preferred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Conversion, Redemption and Preemptive Rights.</w:t>
      </w:r>
      <w:r>
        <w:rPr>
          <w:rFonts w:ascii="Times New Roman" w:hAnsi="Times New Roman"/>
          <w:caps w:val="false"/>
          <w:smallCaps w:val="false"/>
          <w:sz w:val="20"/>
        </w:rPr>
        <w:t xml:space="preserve"> Holders of our common stock have no conversion, redemption, preemptive, subscription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rights, preferences and privileges of the holders of common stock are subject to, and may be adversely affected by, the rights of the holders of shares of any series of our preferred stock that we may designate and issue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our common stock is Computershare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See “Description of Securities” incorporated into this prospectus by reference to Exhibit 4.2 to our Annual Report on Form 10-K for year ended December 31, 2025 for a description of provisions of our articles of incorporation and bylaws and the Minnesota Business Corporation Act that may have the effect of delaying, deferring or preventing changes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Series A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 November 6, 2025, the Company filed the Certificate of Designations, Preferences and Rights of Series A Convertible Preferred Stock (the “Certificate of Designations”) with the Minnesota Secretary of State, which established the designations, preferences, powers and rights of Series A Preferred Shares. The Series A Preferred Shares have a stated value of $1,000 per share (the “Stated Value”). A summary of such designations, preferences, powers and rights is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Ranking; Liquidation.</w:t>
      </w:r>
      <w:r>
        <w:rPr>
          <w:rFonts w:ascii="Times New Roman" w:hAnsi="Times New Roman"/>
          <w:caps w:val="false"/>
          <w:smallCaps w:val="false"/>
          <w:sz w:val="20"/>
        </w:rPr>
        <w:t xml:space="preserve"> The Series A Preferred Shares rank senior to the common stock as to distributions and payments upon the liquidation, dissolution and winding up of the Company. Upon a liquidation, dissolution or winding up of the Company, the holders of Series A Preferred Shares will be entitled to receive in cash, before any amount is paid to the holders of common stock (or any other capital stock of the Company ranking junior to the Series A Preferred Shares in respect of the preferences as to the distributions and payments on the liquidation, dissolution and winding up of the Company), an amount per Series A Preferred Shares equal to the greater of (i) the Liquidation Preference (as defined below), or (ii) such amount per share as would have been payable had all Series A Preferred Shares been converted into common stock immediately prior to such liquidation, dissolution or winding up.</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Dividends.</w:t>
      </w:r>
      <w:r>
        <w:rPr>
          <w:rFonts w:ascii="Times New Roman" w:hAnsi="Times New Roman"/>
          <w:caps w:val="false"/>
          <w:smallCaps w:val="false"/>
          <w:sz w:val="20"/>
        </w:rPr>
        <w:t xml:space="preserve"> The Series A Preferred Shares accrue dividends for a period of five years from and after the issuance date (the “Guaranteed Term”) at a rate of 5.25% per year on the Stated Value, which will be payable in cash only at the Company’s option beginning upon expiration of the Guaranteed Term. Such dividends accrue daily and compound on a quarterly basis from the issuance date. To the extent that, during the Guaranteed Term, (i) the Company undergoes any liquidation, dissolution, winding up, or “Fundamental Transaction” (as defined in the Certificate of Designations), or (ii) the Company elects to effect a Mandatory Conversion (as defined below) (each, a “Make Whole Event”), then, immediately prior to the effective time of such Make Whole Event, the amount of dividends accrued on the Series A Preferred Shares will automatically be increased by an amount equal to any additional dividends that would have otherwise accrued on the Series A Preferred Shares between the date of the Make Whole Event and the end of the Guaranteed Term (the “Make Whole Payment”), and the dividends will thereafter cease to accrue. In addition, holders of Series A Preferred Shares will participate with the holders of common stock on an as-converted basis (without regard to any limitations or restrictions on conversion) to the extent any dividends are declared on the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Optional Conversion.</w:t>
      </w:r>
      <w:r>
        <w:rPr>
          <w:rFonts w:ascii="Times New Roman" w:hAnsi="Times New Roman"/>
          <w:caps w:val="false"/>
          <w:smallCaps w:val="false"/>
          <w:sz w:val="20"/>
        </w:rPr>
        <w:t xml:space="preserve"> Each Series A Preferred Share is convertible at the option of the holder from and after the date of issuance into common stock (“Conversion Shares”) at a rate (the “Conversion Rate”) calculated by calculated by dividing (i) the Stated Value plus an amount per share equal to dividends accrued and unpaid through the date of determination (including, if applicable, any Make Whole Payment) (the “Liquidation Preference”), by (ii) by the “Conversion Price” of $3.00, subject to the Beneficial Ownership Limitation and the Exchange Cap limitation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Mandatory Conversion.</w:t>
      </w:r>
      <w:r>
        <w:rPr>
          <w:rFonts w:ascii="Times New Roman" w:hAnsi="Times New Roman"/>
          <w:caps w:val="false"/>
          <w:smallCaps w:val="false"/>
          <w:sz w:val="20"/>
        </w:rPr>
        <w:t xml:space="preserve"> After the three year anniversary of the issuance date, if on any date (x) the Company’s EBITDA (as defined in the Certificate of Designations) for the four consecutive calendar quarters immediately preceding such date equals or exceeds $30.0 million, (y) the Net Debt Leverage Ratio (as defined in the Certificate of Designations) of the Company as of such date is less than 1.5X, and (z) the closing price of the common stock on its principal trading market equals or exceeds 300% of the then-applicable Conversion Price for 45 trading days during any 60 consecutive trading day period, the Company will have the right to cause the conversion of all of the outstanding Series A Preferred Shares into Conversion Shares at the Conversion Rate (such conversion being a “Mandatory Conversion”).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Beneficial Ownership Limitation and Exchange Cap Limitation.</w:t>
      </w:r>
      <w:r>
        <w:rPr>
          <w:rFonts w:ascii="Times New Roman" w:hAnsi="Times New Roman"/>
          <w:caps w:val="false"/>
          <w:smallCaps w:val="false"/>
          <w:sz w:val="20"/>
        </w:rPr>
        <w:t xml:space="preserve"> A holder’s ability to convert and vote its Series A Preferred Shares is subject to certain limitations. Under a “Beneficial Ownership Limitation,” no holder of Series A Preferred Shares may acquire Conversion Shares if the issuance thereof would result in the converting holder or its affiliates beneficially owning in excess of 19.99% of the number of shares of the Company’s common stock outstanding immediately after giving effect to the issuance. Under an “Exchange Cap” limitation, the total number of Conversion Shares issuable upon conversion of outstanding Series A Preferred Shares, when added to all Conversion Shares previously issued upon prior conversions, may not exceed 2,102,734 shares. However; if the Company obtains shareholder approval to issue shares of common stock in excess of the conversion limitations (as required by applicable Nasdaq Listing Rules), a holder of Series A Preferred Shares may elect for the Exchange Cap to cease to apply to the holder’s Series A Preferred Shares, which election will become effective 61 days after the election. A holder of Series A Preferred Shares, upon written notice to the Company, may decrease (and thereafter increase) the Beneficial Ownership Limitation; provided that the Beneficial Ownership Limitation may in no event exceeds 19.99%, or, if such shareholder approval is obtained, 49.99%. At the Company’s annual meeting of shareholder held December 29, 2025, the Company’s shareholders approved the issuance of Conversion Shares in excess of the Exchange Cap limitation and approved a proposal to increase the maximum Beneficial Ownership Limitation percentage to 49.99%.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Redemption.</w:t>
      </w:r>
      <w:r>
        <w:rPr>
          <w:rFonts w:ascii="Times New Roman" w:hAnsi="Times New Roman"/>
          <w:caps w:val="false"/>
          <w:smallCaps w:val="false"/>
          <w:sz w:val="20"/>
        </w:rPr>
        <w:t xml:space="preserve"> The Series A Preferred Shares are subject to automatic redemption for cash upon a “Fundamental Transaction” by the Company, which includes a merger, sale of all or substantially all the assets of the Company, recapitalization, or the sale by the Company of shares resulting in more than 50% ownership by a person or group. In such event, the redemption price would be equal to the greater of (i) the Liquidation Preference or (ii) the consideration per share of common stock in the Fundamental Transaction (or, in the event of a Fundamental Transaction in which consideration does not consist solely of cash, the volume-weighted average price of the common stock immediately preceding the closing of the Fundamental Transaction).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Voting.</w:t>
      </w:r>
      <w:r>
        <w:rPr>
          <w:rFonts w:ascii="Times New Roman" w:hAnsi="Times New Roman"/>
          <w:caps w:val="false"/>
          <w:smallCaps w:val="false"/>
          <w:sz w:val="20"/>
        </w:rPr>
        <w:t xml:space="preserve"> Holders of Series A Preferred Shares generally are entitled to vote on an as-converted basis with holders of the Common Stock, subject to the Beneficial Ownership Limitation and the Exchange Cap limitations, on all matters on which holders of common stock are entitled to vote, voting together with the common stock as a single class, and are otherwise entitled to such voting rights as required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Protective Provisions.</w:t>
      </w:r>
      <w:r>
        <w:rPr>
          <w:rFonts w:ascii="Times New Roman" w:hAnsi="Times New Roman"/>
          <w:caps w:val="false"/>
          <w:smallCaps w:val="false"/>
          <w:sz w:val="20"/>
        </w:rPr>
        <w:t xml:space="preserve"> For so long as the “Lead Investor” in the Company’s offering of Series A Preferred Shares and its affiliates beneficially own at least 20% of the Conversion Shares underlying the Series A Preferred Shares, the Company may not take any of the following actions without the Lead Investor’s consent:</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create, authorize, or issue any capital stock that rank senior to or pari passu with the Series A Preferred Shares, or increase the authorized number of shares of Series A Preferred Shares or any additional class or series of capital stock that ranks senior to or pari passu with the Series A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incur debt that would result in the ratio of debt to EBITDA of the Company for preceding twelve calendar months exceeding 2.5:1;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or redeem, or pay or declare any dividend on shares of capital stock other than redemptions of or dividends on the Series A Preferred Shares;</w:t>
            </w:r>
          </w:p>
        </w:tc>
      </w:tr>
    </w:tbl>
    <w:p>
      <w:pPr>
        <w:pStyle w:val="TextBody"/>
        <w:bidi w:val="0"/>
        <w:spacing w:before="0" w:after="0"/>
        <w:ind w:left="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60"/>
        <w:gridCol w:w="170"/>
        <w:gridCol w:w="7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9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complete an acquisition (other than a specified exception) with consideration above $5.0 million;</w:t>
            </w:r>
          </w:p>
        </w:tc>
      </w:tr>
    </w:tbl>
    <w:p>
      <w:pPr>
        <w:pStyle w:val="TextBody"/>
        <w:bidi w:val="0"/>
        <w:spacing w:before="0" w:after="0"/>
        <w:ind w:left="0" w:right="0" w:hanging="0"/>
        <w:jc w:val="left"/>
        <w:rPr>
          <w:caps w:val="false"/>
          <w:smallCaps w:val="false"/>
        </w:rPr>
      </w:pPr>
      <w:r>
        <w:rPr>
          <w:caps w:val="false"/>
          <w:smallCaps w:val="false"/>
        </w:rPr>
        <w:t> </w:t>
      </w:r>
    </w:p>
    <w:tbl>
      <w:tblPr>
        <w:tblW w:w="6460" w:type="dxa"/>
        <w:jc w:val="left"/>
        <w:tblInd w:w="0" w:type="dxa"/>
        <w:tblLayout w:type="fixed"/>
        <w:tblCellMar>
          <w:top w:w="0" w:type="dxa"/>
          <w:left w:w="0" w:type="dxa"/>
          <w:bottom w:w="0" w:type="dxa"/>
          <w:right w:w="0" w:type="dxa"/>
        </w:tblCellMar>
      </w:tblPr>
      <w:tblGrid>
        <w:gridCol w:w="60"/>
        <w:gridCol w:w="170"/>
        <w:gridCol w:w="6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enter into, renew, extend or be a party to certain related party transactions;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amend, alter or repeal any provision of the Company’s articles of incorporation or bylaws in a manner that adversely affects the rights, powers and preferences of the Series A Preferred Shares.</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foregoing description of the Certificate of Designations is not complete and is qualified in its entirety by the terms of the Certificate of Designations that is incorporated by reference into the registration statement of which this prospectus is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b/>
          <w:i/>
          <w:caps w:val="false"/>
          <w:smallCaps w:val="false"/>
          <w:sz w:val="20"/>
        </w:rPr>
      </w:pPr>
      <w:r>
        <w:rPr>
          <w:rFonts w:ascii="Times New Roman" w:hAnsi="Times New Roman"/>
          <w:b/>
          <w:i/>
          <w:caps w:val="false"/>
          <w:smallCaps w:val="false"/>
          <w:sz w:val="20"/>
        </w:rPr>
        <w:t>Undesignated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our articles of incorporation, our board of directors has the authority, without stockholder approval, subject to limitations prescribed by law, to provide for the issuance of authorized but unissued shares of preferred stock in one or more series, and by filing a certificate pursuant to the applicable law of the State of Minnesota, to establish from time to time the number of shares to be included in each such series, and to fix the designation, powers, preferences and rights of the shares of each series and any qualifications, limitations or restrictions thereof, and to increase or decrease the number of shares of any such series, but not below the number of shares of such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fix the designations, voting powers, preferences and rights of the preferred stock of each series, as well as the qualifications, limitations or restrictions thereof, in the certificate of designation relating to that series. We will file as an exhibit to the registration statement of which this prospectus is a part, or will incorporate by reference from reports that we file with the Commission, the form of any certificate of designation that describes the terms of the series of preferred stock we are offering before the issuance of that series of preferred stock. This description may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title and stated value;</w:t>
            </w:r>
          </w:p>
        </w:tc>
      </w:tr>
    </w:tbl>
    <w:tbl>
      <w:tblPr>
        <w:tblW w:w="2590" w:type="dxa"/>
        <w:jc w:val="left"/>
        <w:tblInd w:w="0" w:type="dxa"/>
        <w:tblLayout w:type="fixed"/>
        <w:tblCellMar>
          <w:top w:w="0" w:type="dxa"/>
          <w:left w:w="0" w:type="dxa"/>
          <w:bottom w:w="0" w:type="dxa"/>
          <w:right w:w="0" w:type="dxa"/>
        </w:tblCellMar>
      </w:tblPr>
      <w:tblGrid>
        <w:gridCol w:w="60"/>
        <w:gridCol w:w="170"/>
        <w:gridCol w:w="23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number of shares offered;</w:t>
            </w:r>
          </w:p>
        </w:tc>
      </w:tr>
    </w:tbl>
    <w:tbl>
      <w:tblPr>
        <w:tblW w:w="3175" w:type="dxa"/>
        <w:jc w:val="left"/>
        <w:tblInd w:w="0" w:type="dxa"/>
        <w:tblLayout w:type="fixed"/>
        <w:tblCellMar>
          <w:top w:w="0" w:type="dxa"/>
          <w:left w:w="0" w:type="dxa"/>
          <w:bottom w:w="0" w:type="dxa"/>
          <w:right w:w="0" w:type="dxa"/>
        </w:tblCellMar>
      </w:tblPr>
      <w:tblGrid>
        <w:gridCol w:w="60"/>
        <w:gridCol w:w="170"/>
        <w:gridCol w:w="29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liquidation preference per share;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2545" w:type="dxa"/>
        <w:jc w:val="left"/>
        <w:tblInd w:w="0" w:type="dxa"/>
        <w:tblLayout w:type="fixed"/>
        <w:tblCellMar>
          <w:top w:w="0" w:type="dxa"/>
          <w:left w:w="0" w:type="dxa"/>
          <w:bottom w:w="0" w:type="dxa"/>
          <w:right w:w="0" w:type="dxa"/>
        </w:tblCellMar>
      </w:tblPr>
      <w:tblGrid>
        <w:gridCol w:w="60"/>
        <w:gridCol w:w="170"/>
        <w:gridCol w:w="2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purchase price per share;</w:t>
            </w:r>
          </w:p>
        </w:tc>
      </w:tr>
    </w:tbl>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dividend rate(s), period(s) and/or payment date(s) or method(s) of calculation for dividends;</w:t>
            </w:r>
          </w:p>
        </w:tc>
      </w:tr>
    </w:tbl>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dividends are cumulative or non-cumulative and, if cumulative, the date from which dividends will accumulate;</w:t>
            </w:r>
          </w:p>
        </w:tc>
      </w:tr>
    </w:tbl>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right, if any, to defer payment of dividends and the maximum length of any such deferral period;</w:t>
            </w:r>
          </w:p>
        </w:tc>
      </w:tr>
    </w:tbl>
    <w:tbl>
      <w:tblPr>
        <w:tblW w:w="3505" w:type="dxa"/>
        <w:jc w:val="left"/>
        <w:tblInd w:w="0" w:type="dxa"/>
        <w:tblLayout w:type="fixed"/>
        <w:tblCellMar>
          <w:top w:w="0" w:type="dxa"/>
          <w:left w:w="0" w:type="dxa"/>
          <w:bottom w:w="0" w:type="dxa"/>
          <w:right w:w="0" w:type="dxa"/>
        </w:tblCellMar>
      </w:tblPr>
      <w:tblGrid>
        <w:gridCol w:w="60"/>
        <w:gridCol w:w="170"/>
        <w:gridCol w:w="3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provisions for a sinking fund, if any;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redemption or repurchase, if applicable, and any restrictions on our ability to exercise those redemption and repurchase rights;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terms and conditions, if applicable, upon which the preferred stock will be convertible into common stock, including the conversion price (or manner of calculation) and conversion period;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the preferred stock will be exchangeable into debt securities, and, if applicable, the exchange price, or how it will be calculated, and the exchange period;</w:t>
            </w:r>
          </w:p>
        </w:tc>
      </w:tr>
    </w:tbl>
    <w:tbl>
      <w:tblPr>
        <w:tblW w:w="3715" w:type="dxa"/>
        <w:jc w:val="left"/>
        <w:tblInd w:w="0" w:type="dxa"/>
        <w:tblLayout w:type="fixed"/>
        <w:tblCellMar>
          <w:top w:w="0" w:type="dxa"/>
          <w:left w:w="0" w:type="dxa"/>
          <w:bottom w:w="0" w:type="dxa"/>
          <w:right w:w="0" w:type="dxa"/>
        </w:tblCellMar>
      </w:tblPr>
      <w:tblGrid>
        <w:gridCol w:w="60"/>
        <w:gridCol w:w="170"/>
        <w:gridCol w:w="34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voting rights, if any, of the preferred stock;</w:t>
            </w:r>
          </w:p>
        </w:tc>
      </w:tr>
    </w:tbl>
    <w:tbl>
      <w:tblPr>
        <w:tblW w:w="2290" w:type="dxa"/>
        <w:jc w:val="left"/>
        <w:tblInd w:w="0" w:type="dxa"/>
        <w:tblLayout w:type="fixed"/>
        <w:tblCellMar>
          <w:top w:w="0" w:type="dxa"/>
          <w:left w:w="0" w:type="dxa"/>
          <w:bottom w:w="0" w:type="dxa"/>
          <w:right w:w="0" w:type="dxa"/>
        </w:tblCellMar>
      </w:tblPr>
      <w:tblGrid>
        <w:gridCol w:w="60"/>
        <w:gridCol w:w="170"/>
        <w:gridCol w:w="2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preemptive rights, if any;</w:t>
            </w:r>
          </w:p>
        </w:tc>
      </w:tr>
    </w:tbl>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restrictions on transfer, sale or other assignment, if any;</w:t>
            </w:r>
          </w:p>
        </w:tc>
      </w:tr>
    </w:tbl>
    <w:tbl>
      <w:tblPr>
        <w:tblW w:w="6700" w:type="dxa"/>
        <w:jc w:val="left"/>
        <w:tblInd w:w="0" w:type="dxa"/>
        <w:tblLayout w:type="fixed"/>
        <w:tblCellMar>
          <w:top w:w="0" w:type="dxa"/>
          <w:left w:w="0" w:type="dxa"/>
          <w:bottom w:w="0" w:type="dxa"/>
          <w:right w:w="0" w:type="dxa"/>
        </w:tblCellMar>
      </w:tblPr>
      <w:tblGrid>
        <w:gridCol w:w="60"/>
        <w:gridCol w:w="170"/>
        <w:gridCol w:w="6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interests in the preferred stock will be represented by depositary shares;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relative ranking and preferences of the preferred stock as to dividend rights and rights upon the liquidation, dissolution or winding up of our affairs;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limitations on issuance of any class or series of preferred stock ranking senior to or on a parity with the class or series of preferred stock as to dividend rights and rights upon liquidation, dissolution or winding up of our affairs; and</w:t>
            </w:r>
          </w:p>
        </w:tc>
      </w:tr>
    </w:tbl>
    <w:tbl>
      <w:tblPr>
        <w:tblW w:w="7660" w:type="dxa"/>
        <w:jc w:val="left"/>
        <w:tblInd w:w="0" w:type="dxa"/>
        <w:tblLayout w:type="fixed"/>
        <w:tblCellMar>
          <w:top w:w="0" w:type="dxa"/>
          <w:left w:w="0" w:type="dxa"/>
          <w:bottom w:w="0" w:type="dxa"/>
          <w:right w:w="0" w:type="dxa"/>
        </w:tblCellMar>
      </w:tblPr>
      <w:tblGrid>
        <w:gridCol w:w="60"/>
        <w:gridCol w:w="170"/>
        <w:gridCol w:w="7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other specific terms, preferences, rights, limitations or restrictions of the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Our board of directors could authorize the issuance of shares of preferred stock with terms and conditions that could have the effect of discouraging a takeover or other transaction that might involve a premium price for holders of the shares or which holders might believe to be in their best interests. The issuance of preferred stock could adversely affect the voting power, conversion or other rights of holders of common stock and reduce the likelihood that common stockholders will receive dividend payments and payments upon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laws of the State of Minnesota, the state of our incorporation, generally provide that the holders of outstanding shares of a class or series of preferred stock will have the right to vote separately as a class on any proposal involving a change in the rights or preferences of such class or series of preferred stock. This right is in addition to any voting rights that may be provided for in the applicable certificate of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transfer agent and registrar for any series of preferred stock will be set forth in the applicable prospectus supplement.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ddebt"/>
      <w:bookmarkEnd w:id="10"/>
      <w:r>
        <w:rPr>
          <w:rFonts w:ascii="Times New Roman" w:hAnsi="Times New Roman"/>
          <w:b/>
          <w:caps w:val="false"/>
          <w:smallCaps w:val="false"/>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issue debt securities from time to time in one or more series. The particular terms of each series that are offered by a prospectus supplement will be described in the prospectus supplement. The debt securities will be either our senior debt securities (“Senior Debt Securities”) or our subordinated debt securities (“Subordinated Debt Securities” and together with Senior Debt Securities, “Debt Securities”). The Senior Debt Securities and the Subordinated Debt Securities will be issued under an indenture (an “Indenture”) between us and the trustee party thereto (the “Trustee”). The Indenture will be qualified under the Trust Indenture Act of 1939, as amended (the “Trust Indenture Act”). We have filed a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issue Debt Securities either separately, or together with, or upon the conversion or exercise of or in exchange for, other securities described in this prospectus. The Subordinated Debt Securities will be subordinated in right of payment to the prior payment in full of all of our senior debt as described in the prospectus supplement applicable to any Subordinated Debt Securities. If the prospectus supplement so indicates, the Debt Securities will be convertible into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otherwise stated, the Debt Securities will be our direct, unsecured obligations. The rights of the Company and our creditors, including holders of the Debt Securities, to participate in the assets of any subsidiary will be subject to the prior claims of the subsidiaries’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Indenture does not limit the amount of Debt Securities that we may issue. It provides that we may issue Debt Securities up to the principal amount that we may authorize and that the Debt Securities may be in any currency or currency unit that we may designate. Except for the provisions that require the assumption of Debt Securities by successors in connection with any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We will determine the terms and conditions of the Debt Securities, including the maturity, principal and interest, but those terms must be consistent with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applicable prospectus supplement will set forth the price or prices at which the Debt Securities to be offered will be issued and will describe the following terms of such Debt Securities:</w:t>
      </w:r>
    </w:p>
    <w:p>
      <w:pPr>
        <w:pStyle w:val="TextBody"/>
        <w:bidi w:val="0"/>
        <w:spacing w:before="0" w:after="0"/>
        <w:ind w:left="0" w:right="0" w:hanging="0"/>
        <w:jc w:val="left"/>
        <w:rPr>
          <w:caps w:val="false"/>
          <w:smallCaps w:val="false"/>
        </w:rPr>
      </w:pPr>
      <w:r>
        <w:rPr>
          <w:caps w:val="false"/>
          <w:smallCaps w:val="false"/>
        </w:rPr>
        <w:t> </w:t>
      </w:r>
    </w:p>
    <w:tbl>
      <w:tblPr>
        <w:tblW w:w="3265" w:type="dxa"/>
        <w:jc w:val="left"/>
        <w:tblInd w:w="0" w:type="dxa"/>
        <w:tblLayout w:type="fixed"/>
        <w:tblCellMar>
          <w:top w:w="0" w:type="dxa"/>
          <w:left w:w="0" w:type="dxa"/>
          <w:bottom w:w="0" w:type="dxa"/>
          <w:right w:w="0" w:type="dxa"/>
        </w:tblCellMar>
      </w:tblPr>
      <w:tblGrid>
        <w:gridCol w:w="60"/>
        <w:gridCol w:w="170"/>
        <w:gridCol w:w="3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 and aggregate principal amount;</w:t>
            </w:r>
          </w:p>
        </w:tc>
      </w:tr>
    </w:tbl>
    <w:tbl>
      <w:tblPr>
        <w:tblW w:w="2695" w:type="dxa"/>
        <w:jc w:val="left"/>
        <w:tblInd w:w="0" w:type="dxa"/>
        <w:tblLayout w:type="fixed"/>
        <w:tblCellMar>
          <w:top w:w="0" w:type="dxa"/>
          <w:left w:w="0" w:type="dxa"/>
          <w:bottom w:w="0" w:type="dxa"/>
          <w:right w:w="0" w:type="dxa"/>
        </w:tblCellMar>
      </w:tblPr>
      <w:tblGrid>
        <w:gridCol w:w="60"/>
        <w:gridCol w:w="170"/>
        <w:gridCol w:w="24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4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subordination provisions;</w:t>
            </w:r>
          </w:p>
        </w:tc>
      </w:tr>
    </w:tbl>
    <w:tbl>
      <w:tblPr>
        <w:tblW w:w="4720" w:type="dxa"/>
        <w:jc w:val="left"/>
        <w:tblInd w:w="0" w:type="dxa"/>
        <w:tblLayout w:type="fixed"/>
        <w:tblCellMar>
          <w:top w:w="0" w:type="dxa"/>
          <w:left w:w="0" w:type="dxa"/>
          <w:bottom w:w="0" w:type="dxa"/>
          <w:right w:w="0" w:type="dxa"/>
        </w:tblCellMar>
      </w:tblPr>
      <w:tblGrid>
        <w:gridCol w:w="60"/>
        <w:gridCol w:w="170"/>
        <w:gridCol w:w="4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conversion or exchange into any securities or property;</w:t>
            </w:r>
          </w:p>
        </w:tc>
      </w:tr>
    </w:tbl>
    <w:tbl>
      <w:tblPr>
        <w:tblW w:w="6160" w:type="dxa"/>
        <w:jc w:val="left"/>
        <w:tblInd w:w="0" w:type="dxa"/>
        <w:tblLayout w:type="fixed"/>
        <w:tblCellMar>
          <w:top w:w="0" w:type="dxa"/>
          <w:left w:w="0" w:type="dxa"/>
          <w:bottom w:w="0" w:type="dxa"/>
          <w:right w:w="0" w:type="dxa"/>
        </w:tblCellMar>
      </w:tblPr>
      <w:tblGrid>
        <w:gridCol w:w="60"/>
        <w:gridCol w:w="170"/>
        <w:gridCol w:w="59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percentage(s) of principal amount at which such securities will be issued;</w:t>
            </w:r>
          </w:p>
        </w:tc>
      </w:tr>
    </w:tbl>
    <w:tbl>
      <w:tblPr>
        <w:tblW w:w="1390" w:type="dxa"/>
        <w:jc w:val="left"/>
        <w:tblInd w:w="0" w:type="dxa"/>
        <w:tblLayout w:type="fixed"/>
        <w:tblCellMar>
          <w:top w:w="0" w:type="dxa"/>
          <w:left w:w="0" w:type="dxa"/>
          <w:bottom w:w="0" w:type="dxa"/>
          <w:right w:w="0" w:type="dxa"/>
        </w:tblCellMar>
      </w:tblPr>
      <w:tblGrid>
        <w:gridCol w:w="60"/>
        <w:gridCol w:w="170"/>
        <w:gridCol w:w="11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issuance date;</w:t>
            </w:r>
          </w:p>
        </w:tc>
      </w:tr>
    </w:tbl>
    <w:tbl>
      <w:tblPr>
        <w:tblW w:w="1585" w:type="dxa"/>
        <w:jc w:val="left"/>
        <w:tblInd w:w="0" w:type="dxa"/>
        <w:tblLayout w:type="fixed"/>
        <w:tblCellMar>
          <w:top w:w="0" w:type="dxa"/>
          <w:left w:w="0" w:type="dxa"/>
          <w:bottom w:w="0" w:type="dxa"/>
          <w:right w:w="0" w:type="dxa"/>
        </w:tblCellMar>
      </w:tblPr>
      <w:tblGrid>
        <w:gridCol w:w="60"/>
        <w:gridCol w:w="170"/>
        <w:gridCol w:w="13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maturity date(s);</w:t>
            </w:r>
          </w:p>
        </w:tc>
      </w:tr>
    </w:tbl>
    <w:tbl>
      <w:tblPr>
        <w:tblW w:w="5410" w:type="dxa"/>
        <w:jc w:val="left"/>
        <w:tblInd w:w="0" w:type="dxa"/>
        <w:tblLayout w:type="fixed"/>
        <w:tblCellMar>
          <w:top w:w="0" w:type="dxa"/>
          <w:left w:w="0" w:type="dxa"/>
          <w:bottom w:w="0" w:type="dxa"/>
          <w:right w:w="0" w:type="dxa"/>
        </w:tblCellMar>
      </w:tblPr>
      <w:tblGrid>
        <w:gridCol w:w="60"/>
        <w:gridCol w:w="170"/>
        <w:gridCol w:w="5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interest rate(s) or the method for determining the interest rate(s);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dates on which interest will accrue or the method for determining dates on which interest will accrue and dates on which interest will be payable;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interest will be payable in cash or in additional Debt Securities of the same series, or shall accrue and increase the aggregate principal amount outstanding of such series (including if the Debt Securities were originally issued at a discount);</w:t>
            </w:r>
          </w:p>
        </w:tc>
      </w:tr>
    </w:tbl>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interest deferral rights and periods;</w:t>
            </w:r>
          </w:p>
        </w:tc>
      </w:tr>
    </w:tbl>
    <w:tbl>
      <w:tblPr>
        <w:tblW w:w="3910" w:type="dxa"/>
        <w:jc w:val="left"/>
        <w:tblInd w:w="0" w:type="dxa"/>
        <w:tblLayout w:type="fixed"/>
        <w:tblCellMar>
          <w:top w:w="0" w:type="dxa"/>
          <w:left w:w="0" w:type="dxa"/>
          <w:bottom w:w="0" w:type="dxa"/>
          <w:right w:w="0" w:type="dxa"/>
        </w:tblCellMar>
      </w:tblPr>
      <w:tblGrid>
        <w:gridCol w:w="60"/>
        <w:gridCol w:w="170"/>
        <w:gridCol w:w="3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auction and remarketing of the securities;</w:t>
            </w:r>
          </w:p>
        </w:tc>
      </w:tr>
    </w:tbl>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redemption or early repayment provisions;</w:t>
            </w:r>
          </w:p>
        </w:tc>
      </w:tr>
    </w:tbl>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authorized denominations;</w:t>
            </w:r>
          </w:p>
        </w:tc>
      </w:tr>
    </w:tbl>
    <w:tbl>
      <w:tblPr>
        <w:tblW w:w="2005" w:type="dxa"/>
        <w:jc w:val="left"/>
        <w:tblInd w:w="0" w:type="dxa"/>
        <w:tblLayout w:type="fixed"/>
        <w:tblCellMar>
          <w:top w:w="0" w:type="dxa"/>
          <w:left w:w="0" w:type="dxa"/>
          <w:bottom w:w="0" w:type="dxa"/>
          <w:right w:w="0" w:type="dxa"/>
        </w:tblCellMar>
      </w:tblPr>
      <w:tblGrid>
        <w:gridCol w:w="60"/>
        <w:gridCol w:w="170"/>
        <w:gridCol w:w="17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form of the securities;</w:t>
            </w:r>
          </w:p>
        </w:tc>
      </w:tr>
    </w:tbl>
    <w:tbl>
      <w:tblPr>
        <w:tblW w:w="6790" w:type="dxa"/>
        <w:jc w:val="left"/>
        <w:tblInd w:w="0" w:type="dxa"/>
        <w:tblLayout w:type="fixed"/>
        <w:tblCellMar>
          <w:top w:w="0" w:type="dxa"/>
          <w:left w:w="0" w:type="dxa"/>
          <w:bottom w:w="0" w:type="dxa"/>
          <w:right w:w="0" w:type="dxa"/>
        </w:tblCellMar>
      </w:tblPr>
      <w:tblGrid>
        <w:gridCol w:w="60"/>
        <w:gridCol w:w="170"/>
        <w:gridCol w:w="6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 of discount or premium, if any, with which such securities will be issued;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tbl>
      <w:tblPr>
        <w:tblW w:w="8395" w:type="dxa"/>
        <w:jc w:val="left"/>
        <w:tblInd w:w="0" w:type="dxa"/>
        <w:tblLayout w:type="fixed"/>
        <w:tblCellMar>
          <w:top w:w="0" w:type="dxa"/>
          <w:left w:w="0" w:type="dxa"/>
          <w:bottom w:w="0" w:type="dxa"/>
          <w:right w:w="0" w:type="dxa"/>
        </w:tblCellMar>
      </w:tblPr>
      <w:tblGrid>
        <w:gridCol w:w="60"/>
        <w:gridCol w:w="170"/>
        <w:gridCol w:w="8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such securities will be issued in whole or in part in the form of one or more global securities;</w:t>
            </w:r>
          </w:p>
        </w:tc>
      </w:tr>
    </w:tbl>
    <w:tbl>
      <w:tblPr>
        <w:tblW w:w="4360" w:type="dxa"/>
        <w:jc w:val="left"/>
        <w:tblInd w:w="0" w:type="dxa"/>
        <w:tblLayout w:type="fixed"/>
        <w:tblCellMar>
          <w:top w:w="0" w:type="dxa"/>
          <w:left w:w="0" w:type="dxa"/>
          <w:bottom w:w="0" w:type="dxa"/>
          <w:right w:w="0" w:type="dxa"/>
        </w:tblCellMar>
      </w:tblPr>
      <w:tblGrid>
        <w:gridCol w:w="60"/>
        <w:gridCol w:w="170"/>
        <w:gridCol w:w="41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1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identity of the depositary(ies) for global securities;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a temporary security is to be issued with respect to such series and whether any interest payable prior to the issuance of definitive securities of the series will be credited to the account of the persons entitled thereto;</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terms upon which beneficial interests in a temporary global security may be exchanged in whole or in part for beneficial interests in a definitive global security or for individual definitive securities;</w:t>
            </w:r>
          </w:p>
        </w:tc>
      </w:tr>
    </w:tbl>
    <w:tbl>
      <w:tblPr>
        <w:tblW w:w="7195" w:type="dxa"/>
        <w:jc w:val="left"/>
        <w:tblInd w:w="0" w:type="dxa"/>
        <w:tblLayout w:type="fixed"/>
        <w:tblCellMar>
          <w:top w:w="0" w:type="dxa"/>
          <w:left w:w="0" w:type="dxa"/>
          <w:bottom w:w="0" w:type="dxa"/>
          <w:right w:w="0" w:type="dxa"/>
        </w:tblCellMar>
      </w:tblPr>
      <w:tblGrid>
        <w:gridCol w:w="60"/>
        <w:gridCol w:w="170"/>
        <w:gridCol w:w="6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provisions relating to any collateral or security provided for such Debt Securities;</w:t>
            </w:r>
          </w:p>
        </w:tc>
      </w:tr>
    </w:tbl>
    <w:tbl>
      <w:tblPr>
        <w:tblW w:w="6055" w:type="dxa"/>
        <w:jc w:val="left"/>
        <w:tblInd w:w="0" w:type="dxa"/>
        <w:tblLayout w:type="fixed"/>
        <w:tblCellMar>
          <w:top w:w="0" w:type="dxa"/>
          <w:left w:w="0" w:type="dxa"/>
          <w:bottom w:w="0" w:type="dxa"/>
          <w:right w:w="0" w:type="dxa"/>
        </w:tblCellMar>
      </w:tblPr>
      <w:tblGrid>
        <w:gridCol w:w="60"/>
        <w:gridCol w:w="170"/>
        <w:gridCol w:w="58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covenants applicable to the particular Debt Securities being issued;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defaults and events of default applicable to the particular Debt Securities being issued and acceleration rights upon such events;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currency, currencies or currency units in which the purchase price for, the principal of and any premium and any interest on such securities will be payable;</w:t>
            </w:r>
          </w:p>
        </w:tc>
      </w:tr>
    </w:tbl>
    <w:tbl>
      <w:tblPr>
        <w:tblW w:w="5650" w:type="dxa"/>
        <w:jc w:val="left"/>
        <w:tblInd w:w="0" w:type="dxa"/>
        <w:tblLayout w:type="fixed"/>
        <w:tblCellMar>
          <w:top w:w="0" w:type="dxa"/>
          <w:left w:w="0" w:type="dxa"/>
          <w:bottom w:w="0" w:type="dxa"/>
          <w:right w:w="0" w:type="dxa"/>
        </w:tblCellMar>
      </w:tblPr>
      <w:tblGrid>
        <w:gridCol w:w="60"/>
        <w:gridCol w:w="170"/>
        <w:gridCol w:w="54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exchange(s) on which the securities will be listed, if any;</w:t>
            </w:r>
          </w:p>
        </w:tc>
      </w:tr>
    </w:tbl>
    <w:tbl>
      <w:tblPr>
        <w:tblW w:w="10060" w:type="dxa"/>
        <w:jc w:val="left"/>
        <w:tblInd w:w="0" w:type="dxa"/>
        <w:tblLayout w:type="fixed"/>
        <w:tblCellMar>
          <w:top w:w="0" w:type="dxa"/>
          <w:left w:w="0" w:type="dxa"/>
          <w:bottom w:w="0" w:type="dxa"/>
          <w:right w:w="0" w:type="dxa"/>
        </w:tblCellMar>
      </w:tblPr>
      <w:tblGrid>
        <w:gridCol w:w="60"/>
        <w:gridCol w:w="170"/>
        <w:gridCol w:w="98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obligation or right to redeem, purchase or repay securities under a sinking fund, amortization or analogous provision;</w:t>
            </w:r>
          </w:p>
        </w:tc>
      </w:tr>
    </w:tbl>
    <w:tbl>
      <w:tblPr>
        <w:tblW w:w="7525" w:type="dxa"/>
        <w:jc w:val="left"/>
        <w:tblInd w:w="0" w:type="dxa"/>
        <w:tblLayout w:type="fixed"/>
        <w:tblCellMar>
          <w:top w:w="0" w:type="dxa"/>
          <w:left w:w="0" w:type="dxa"/>
          <w:bottom w:w="0" w:type="dxa"/>
          <w:right w:w="0" w:type="dxa"/>
        </w:tblCellMar>
      </w:tblPr>
      <w:tblGrid>
        <w:gridCol w:w="60"/>
        <w:gridCol w:w="170"/>
        <w:gridCol w:w="72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provisions relating to covenant defeasance and legal defeasance of securities of the series;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the Indenture will restrict our ability to incur additional indebtedness, issue additional securities, create liens, pay dividends or make distributions of transfer assets, make investments or other restricted payments, sell or otherwise dispose of assets, enter into sale-leaseback transactions, engage in transactions with stockholders or affiliates, issue or sell stock of our subsidiaries, or effect a consolidation or merger;</w:t>
            </w:r>
          </w:p>
        </w:tc>
      </w:tr>
    </w:tbl>
    <w:tbl>
      <w:tblPr>
        <w:tblW w:w="5530" w:type="dxa"/>
        <w:jc w:val="left"/>
        <w:tblInd w:w="0" w:type="dxa"/>
        <w:tblLayout w:type="fixed"/>
        <w:tblCellMar>
          <w:top w:w="0" w:type="dxa"/>
          <w:left w:w="0" w:type="dxa"/>
          <w:bottom w:w="0" w:type="dxa"/>
          <w:right w:w="0" w:type="dxa"/>
        </w:tblCellMar>
      </w:tblPr>
      <w:tblGrid>
        <w:gridCol w:w="60"/>
        <w:gridCol w:w="170"/>
        <w:gridCol w:w="53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provisions relating to satisfaction and discharge of the Indenture;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the Indenture will require us to maintain any interest coverage, fixed charge, cash flow-based, asset-based or other financial ratios;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provisions relating to the modification of the Indenture both with and without the consent of holders of Debt Securities issued under the Indenture;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provisions, if any, granting special rights upon the occurrence of specified events, including consolidation, merger and sales;</w:t>
            </w:r>
          </w:p>
        </w:tc>
      </w:tr>
    </w:tbl>
    <w:tbl>
      <w:tblPr>
        <w:tblW w:w="3130" w:type="dxa"/>
        <w:jc w:val="left"/>
        <w:tblInd w:w="0" w:type="dxa"/>
        <w:tblLayout w:type="fixed"/>
        <w:tblCellMar>
          <w:top w:w="0" w:type="dxa"/>
          <w:left w:w="0" w:type="dxa"/>
          <w:bottom w:w="0" w:type="dxa"/>
          <w:right w:w="0" w:type="dxa"/>
        </w:tblCellMar>
      </w:tblPr>
      <w:tblGrid>
        <w:gridCol w:w="60"/>
        <w:gridCol w:w="170"/>
        <w:gridCol w:w="2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applicability of any guarantees;</w:t>
            </w:r>
          </w:p>
        </w:tc>
      </w:tr>
    </w:tbl>
    <w:tbl>
      <w:tblPr>
        <w:tblW w:w="4225" w:type="dxa"/>
        <w:jc w:val="left"/>
        <w:tblInd w:w="0" w:type="dxa"/>
        <w:tblLayout w:type="fixed"/>
        <w:tblCellMar>
          <w:top w:w="0" w:type="dxa"/>
          <w:left w:w="0" w:type="dxa"/>
          <w:bottom w:w="0" w:type="dxa"/>
          <w:right w:w="0" w:type="dxa"/>
        </w:tblCellMar>
      </w:tblPr>
      <w:tblGrid>
        <w:gridCol w:w="60"/>
        <w:gridCol w:w="170"/>
        <w:gridCol w:w="3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restriction of transferability of the series; and</w:t>
            </w:r>
          </w:p>
        </w:tc>
      </w:tr>
    </w:tbl>
    <w:tbl>
      <w:tblPr>
        <w:tblW w:w="6805" w:type="dxa"/>
        <w:jc w:val="left"/>
        <w:tblInd w:w="0" w:type="dxa"/>
        <w:tblLayout w:type="fixed"/>
        <w:tblCellMar>
          <w:top w:w="0" w:type="dxa"/>
          <w:left w:w="0" w:type="dxa"/>
          <w:bottom w:w="0" w:type="dxa"/>
          <w:right w:w="0" w:type="dxa"/>
        </w:tblCellMar>
      </w:tblPr>
      <w:tblGrid>
        <w:gridCol w:w="60"/>
        <w:gridCol w:w="170"/>
        <w:gridCol w:w="6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terms not inconsistent with the provisions of the applicable Indenture.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Debt Securities, including any Debt Securities that provide for an amount less than the principal amount thereof to be due and payable upon a declaration of acceleration of the maturity thereof, may be sold at a substantial discount below their principal amount. Special United States federal income tax considerations applicable to Debt Securities sold at an original issue discount may be described in the applicable prospectus supplement. In addition, special United States federal income tax or other considerations applicable to any Debt Securities that are denominated in a currency or currency unit other than United States dollars may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Conversion or Exchange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terms, if any, on which a series of Debt Securities may be convertible into or exchangeable for common stock or other securities will be detailed in the prospectus supplement relating thereto. Such terms will include provisions as to whether conversion or exchange is mandatory, at the option of holders, or at our option, the conversion price and the conversion period, and may include provisions pursuant to which the number of shares of our common stock or other securities to be received by holders of such series of Debt Securities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Consolidation, Merger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set forth in the applicable prospectus supplement any restrictive covenants applicable to any issue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Events of Default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as otherwise described in the prospectus supplement, the following constitute events of default under the Indenture with respect to any series of Debt Securities that we may issue: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w:t>
            </w:r>
          </w:p>
        </w:tc>
      </w:tr>
    </w:tbl>
    <w:p>
      <w:pPr>
        <w:pStyle w:val="TextBody"/>
        <w:bidi w:val="0"/>
        <w:spacing w:before="0" w:after="0"/>
        <w:ind w:left="0" w:right="0" w:hanging="0"/>
        <w:jc w:val="left"/>
        <w:rPr>
          <w:caps w:val="false"/>
          <w:smallCaps w:val="false"/>
        </w:rPr>
      </w:pPr>
      <w:r>
        <w:rPr>
          <w:caps w:val="false"/>
          <w:smallCaps w:val="false"/>
        </w:rPr>
        <w:t> </w:t>
      </w:r>
    </w:p>
    <w:tbl>
      <w:tblPr>
        <w:tblW w:w="5875" w:type="dxa"/>
        <w:jc w:val="left"/>
        <w:tblInd w:w="0" w:type="dxa"/>
        <w:tblLayout w:type="fixed"/>
        <w:tblCellMar>
          <w:top w:w="0" w:type="dxa"/>
          <w:left w:w="0" w:type="dxa"/>
          <w:bottom w:w="0" w:type="dxa"/>
          <w:right w:w="0" w:type="dxa"/>
        </w:tblCellMar>
      </w:tblPr>
      <w:tblGrid>
        <w:gridCol w:w="60"/>
        <w:gridCol w:w="170"/>
        <w:gridCol w:w="5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if specified events of bankruptcy, insolvency or reorganization occur.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60"/>
        <w:gridCol w:w="170"/>
        <w:gridCol w:w="80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direction so given by the holder is not in conflict with any law or the applicable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subject to its duties under the Trust Indenture Act, the Trustee need not take any action that might involve it in personal liability or might be unduly prejudicial to the holders not involved in the proceeding.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holder of Debt Securities of any series will have the right to institute a proceeding under the Indenture or to appoint a receiver or Trustee, or to seek other remedies only if:</w:t>
      </w:r>
    </w:p>
    <w:p>
      <w:pPr>
        <w:pStyle w:val="TextBody"/>
        <w:bidi w:val="0"/>
        <w:spacing w:before="0" w:after="0"/>
        <w:ind w:left="0" w:right="0" w:hanging="0"/>
        <w:jc w:val="left"/>
        <w:rPr>
          <w:caps w:val="false"/>
          <w:smallCaps w:val="false"/>
        </w:rPr>
      </w:pPr>
      <w:r>
        <w:rPr>
          <w:caps w:val="false"/>
          <w:smallCaps w:val="false"/>
        </w:rPr>
        <w:t> </w:t>
      </w:r>
    </w:p>
    <w:tbl>
      <w:tblPr>
        <w:tblW w:w="8980" w:type="dxa"/>
        <w:jc w:val="left"/>
        <w:tblInd w:w="0" w:type="dxa"/>
        <w:tblLayout w:type="fixed"/>
        <w:tblCellMar>
          <w:top w:w="0" w:type="dxa"/>
          <w:left w:w="0" w:type="dxa"/>
          <w:bottom w:w="0" w:type="dxa"/>
          <w:right w:w="0" w:type="dxa"/>
        </w:tblCellMar>
      </w:tblPr>
      <w:tblGrid>
        <w:gridCol w:w="60"/>
        <w:gridCol w:w="170"/>
        <w:gridCol w:w="87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holder has given written notice to the Trustee of a continuing event of default with respect to that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holders of at least 25% in aggregate principal amount of the outstanding Debt Securities of that series have made written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holders have offered to the Trustee indemnity satisfactory to it against the costs, expenses and liabilities to be incurred by the Trustee in compliance with the request;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Trustee does not institute the proceeding, and does not receive from the holders of a majority in aggregate principal amount of the outstanding Debt Securities of that series other conflicting directions within 90 days after the notice, request and offer.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periodically file statements with the Trustee regarding our compliance with specified covenants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Modification of Indenture;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and the Trustee may change an Indenture without the consent of any holders with respect to specific matters:</w:t>
      </w:r>
    </w:p>
    <w:p>
      <w:pPr>
        <w:pStyle w:val="TextBody"/>
        <w:bidi w:val="0"/>
        <w:spacing w:before="0" w:after="0"/>
        <w:ind w:left="0" w:right="0" w:hanging="0"/>
        <w:jc w:val="left"/>
        <w:rPr>
          <w:caps w:val="false"/>
          <w:smallCaps w:val="false"/>
        </w:rPr>
      </w:pPr>
      <w:r>
        <w:rPr>
          <w:caps w:val="false"/>
          <w:smallCaps w:val="false"/>
        </w:rPr>
        <w:t> </w:t>
      </w:r>
    </w:p>
    <w:tbl>
      <w:tblPr>
        <w:tblW w:w="8440" w:type="dxa"/>
        <w:jc w:val="left"/>
        <w:tblInd w:w="0" w:type="dxa"/>
        <w:tblLayout w:type="fixed"/>
        <w:tblCellMar>
          <w:top w:w="0" w:type="dxa"/>
          <w:left w:w="0" w:type="dxa"/>
          <w:bottom w:w="0" w:type="dxa"/>
          <w:right w:w="0" w:type="dxa"/>
        </w:tblCellMar>
      </w:tblPr>
      <w:tblGrid>
        <w:gridCol w:w="60"/>
        <w:gridCol w:w="170"/>
        <w:gridCol w:w="8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cure any ambiguity, defect or inconsistency in the Indenture or in the Debt Securities of any series;</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60"/>
        <w:gridCol w:w="170"/>
        <w:gridCol w:w="96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the provisions described above under “Description of Debt Securities—Consolidation, Merger or Sale;”</w:t>
            </w:r>
          </w:p>
        </w:tc>
      </w:tr>
    </w:tbl>
    <w:p>
      <w:pPr>
        <w:pStyle w:val="TextBody"/>
        <w:bidi w:val="0"/>
        <w:spacing w:before="0" w:after="0"/>
        <w:ind w:left="0" w:right="0"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60"/>
        <w:gridCol w:w="170"/>
        <w:gridCol w:w="8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for uncertificated Debt Securities in addition to or in place of certificated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add to, delete from, or revise the conditions, limitations, and restrictions on the authorized amount, terms, or purposes of issue, authentication and delivery of Debt Securities, as set forth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make any change that does not adversely affect the interests of any holder of Debt Securities of any series in any material respect;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provide for the issuance of and establish the form and terms and conditions of the Debt Securities of any series as provided above under “Description of Debt Securities—General” to establish the form of any certifications required to be furnished pursuant to the terms of the Indenture or any series of Debt Securities, or to add to the rights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evidence and provide for the acceptance of appointment under any Indenture by a successor Trustee;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comply with any requirements of the SEC in connection with the qualification of any Indenture under the Trust Indenture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w:t>
      </w:r>
    </w:p>
    <w:p>
      <w:pPr>
        <w:pStyle w:val="TextBody"/>
        <w:bidi w:val="0"/>
        <w:spacing w:before="0" w:after="0"/>
        <w:ind w:left="0" w:right="0" w:hanging="0"/>
        <w:jc w:val="left"/>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extending the fixed maturity of any Debt Securities of any series;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principal amount, reducing the rate of or extending the time of payment of interest, or reducing any premium payable upon the redemption of any series of any Debt Securities;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reducing the percentage of Debt Securities, the holders of which are required to consent to any amendment, supplement, modification or 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Indenture provides that, except for specified obligations, we can elect to be discharged from our obligations with respect to one or more series of Debt Securities, including obligations to:</w:t>
      </w:r>
    </w:p>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60"/>
        <w:gridCol w:w="170"/>
        <w:gridCol w:w="1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7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provide for payment;</w:t>
            </w:r>
          </w:p>
        </w:tc>
      </w:tr>
    </w:tbl>
    <w:p>
      <w:pPr>
        <w:pStyle w:val="TextBody"/>
        <w:bidi w:val="0"/>
        <w:spacing w:before="0" w:after="0"/>
        <w:ind w:left="0" w:right="0" w:hanging="0"/>
        <w:jc w:val="left"/>
        <w:rPr>
          <w:caps w:val="false"/>
          <w:smallCaps w:val="false"/>
        </w:rPr>
      </w:pPr>
      <w:r>
        <w:rPr>
          <w:caps w:val="false"/>
          <w:smallCaps w:val="false"/>
        </w:rPr>
        <w:t> </w:t>
      </w:r>
    </w:p>
    <w:tbl>
      <w:tblPr>
        <w:tblW w:w="5380" w:type="dxa"/>
        <w:jc w:val="left"/>
        <w:tblInd w:w="0" w:type="dxa"/>
        <w:tblLayout w:type="fixed"/>
        <w:tblCellMar>
          <w:top w:w="0" w:type="dxa"/>
          <w:left w:w="0" w:type="dxa"/>
          <w:bottom w:w="0" w:type="dxa"/>
          <w:right w:w="0" w:type="dxa"/>
        </w:tblCellMar>
      </w:tblPr>
      <w:tblGrid>
        <w:gridCol w:w="60"/>
        <w:gridCol w:w="170"/>
        <w:gridCol w:w="5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register the transfer or exchange of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60"/>
        <w:gridCol w:w="170"/>
        <w:gridCol w:w="49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replace stolen, lost or mutilated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60"/>
        <w:gridCol w:w="170"/>
        <w:gridCol w:w="63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3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 principal of and premium and interest on any Debt Securities of the series;</w:t>
            </w:r>
          </w:p>
        </w:tc>
      </w:tr>
    </w:tbl>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60"/>
        <w:gridCol w:w="170"/>
        <w:gridCol w:w="21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maintain paying agencies;</w:t>
            </w:r>
          </w:p>
        </w:tc>
      </w:tr>
    </w:tbl>
    <w:p>
      <w:pPr>
        <w:pStyle w:val="TextBody"/>
        <w:bidi w:val="0"/>
        <w:spacing w:before="0" w:after="0"/>
        <w:ind w:left="0" w:right="0" w:hanging="0"/>
        <w:jc w:val="left"/>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hold monies for payment in trust;</w:t>
            </w:r>
          </w:p>
        </w:tc>
      </w:tr>
    </w:tbl>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60"/>
        <w:gridCol w:w="170"/>
        <w:gridCol w:w="3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recover excess money held by the Trustee;</w:t>
            </w:r>
          </w:p>
        </w:tc>
      </w:tr>
    </w:tbl>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60"/>
        <w:gridCol w:w="170"/>
        <w:gridCol w:w="35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compensate and indemnify the Trustee; and</w:t>
            </w:r>
          </w:p>
        </w:tc>
      </w:tr>
    </w:tbl>
    <w:p>
      <w:pPr>
        <w:pStyle w:val="TextBody"/>
        <w:bidi w:val="0"/>
        <w:spacing w:before="0" w:after="0"/>
        <w:ind w:left="0" w:right="0" w:hanging="0"/>
        <w:jc w:val="left"/>
        <w:rPr>
          <w:caps w:val="false"/>
          <w:smallCaps w:val="false"/>
        </w:rPr>
      </w:pPr>
      <w:r>
        <w:rPr>
          <w:caps w:val="false"/>
          <w:smallCaps w:val="false"/>
        </w:rPr>
        <w:t> </w:t>
      </w:r>
    </w:p>
    <w:tbl>
      <w:tblPr>
        <w:tblW w:w="2770" w:type="dxa"/>
        <w:jc w:val="left"/>
        <w:tblInd w:w="0" w:type="dxa"/>
        <w:tblLayout w:type="fixed"/>
        <w:tblCellMar>
          <w:top w:w="0" w:type="dxa"/>
          <w:left w:w="0" w:type="dxa"/>
          <w:bottom w:w="0" w:type="dxa"/>
          <w:right w:w="0" w:type="dxa"/>
        </w:tblCellMar>
      </w:tblPr>
      <w:tblGrid>
        <w:gridCol w:w="60"/>
        <w:gridCol w:w="170"/>
        <w:gridCol w:w="25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appoint any successor Trustee.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order to exercise our rights to be discharged, we must deposit with the Trustee money or government obligations sufficient to pay all the principal of, any premium, if any, and interest on, the Debt Securities of the series on the dates payments are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Form, Exchange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At the option of the holder, subject to the terms of the Indenture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we elect to redeem the Debt Securities of any series, we will not be required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Payment and Paying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we otherwise indicate in the applicable prospectus supplement, we will make payment of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Debt Securities of a series may be issued in whole or in part in the form of one or more global securities that will be deposited with, or on behalf of, a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Indenture and the Debt Securities will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1" w:name="dwarr"/>
      <w:bookmarkEnd w:id="11"/>
      <w:r>
        <w:rPr>
          <w:rFonts w:ascii="Times New Roman" w:hAnsi="Times New Roman"/>
          <w:b/>
          <w:caps w:val="false"/>
          <w:smallCaps w:val="false"/>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issue warrants for the purchase of our debt securities, preferred stock or common stock, or any combination thereof. Warrants may be issued independently or together with our debt securities, preferred stock or common stock and may be attached to or separate from any offered securities. Each series of warrants will be issued under a separate warrant agreement. We may enter into a warrant agreement with a bank or trust company, as warrant agent. We will indicate the name and address and other information regarding the warrant agent in the applicable prospectus supplement or free writing prospectus relating to a particular series of warrants. The warrant agent will act solely as our agent in connection with the warrants. The warrant agent will not have any obligation or relationship of agency or trust for or with any holders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summary of certain provisions of the warrants is not complete. For the terms of a particular series of warrants, you should refer to the prospectus supplement or free writing prospectus for that series of warrants and the warrant agreement for that particular series. The terms of any warrants we offer under a prospectus supplement or free writing prospectus may differ from the terms we describe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prospectus supplement or free writing prospectus relating to a particular issue of warrants to purchase debt securities will describe the terms of the debt warrants, including the following:</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60"/>
        <w:gridCol w:w="170"/>
        <w:gridCol w:w="2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title of the debt warrants;</w:t>
            </w:r>
          </w:p>
        </w:tc>
      </w:tr>
    </w:tbl>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offering price for the debt warrants, if any;</w:t>
            </w:r>
          </w:p>
        </w:tc>
      </w:tr>
    </w:tbl>
    <w:tbl>
      <w:tblPr>
        <w:tblW w:w="3700" w:type="dxa"/>
        <w:jc w:val="left"/>
        <w:tblInd w:w="0" w:type="dxa"/>
        <w:tblLayout w:type="fixed"/>
        <w:tblCellMar>
          <w:top w:w="0" w:type="dxa"/>
          <w:left w:w="0" w:type="dxa"/>
          <w:bottom w:w="0" w:type="dxa"/>
          <w:right w:w="0" w:type="dxa"/>
        </w:tblCellMar>
      </w:tblPr>
      <w:tblGrid>
        <w:gridCol w:w="60"/>
        <w:gridCol w:w="170"/>
        <w:gridCol w:w="3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number of the debt warrants;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designation and terms of the debt securities, including any conversion rights, purchasable upon exercise of the debt warrants;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applicable, the date from and after which the debt warrants and any debt securities issued with them will be separately transferable;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principal amount of debt securities that may be purchased upon exercise of a debt warrant and the exercise price for the warrants, which may be payable in cash, securities or other property;</w:t>
            </w:r>
          </w:p>
        </w:tc>
      </w:tr>
    </w:tbl>
    <w:tbl>
      <w:tblPr>
        <w:tblW w:w="7075" w:type="dxa"/>
        <w:jc w:val="left"/>
        <w:tblInd w:w="0" w:type="dxa"/>
        <w:tblLayout w:type="fixed"/>
        <w:tblCellMar>
          <w:top w:w="0" w:type="dxa"/>
          <w:left w:w="0" w:type="dxa"/>
          <w:bottom w:w="0" w:type="dxa"/>
          <w:right w:w="0" w:type="dxa"/>
        </w:tblCellMar>
      </w:tblPr>
      <w:tblGrid>
        <w:gridCol w:w="60"/>
        <w:gridCol w:w="170"/>
        <w:gridCol w:w="6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dates on which the right to exercise the debt warrants will commence and expire;</w:t>
            </w:r>
          </w:p>
        </w:tc>
      </w:tr>
    </w:tbl>
    <w:tbl>
      <w:tblPr>
        <w:tblW w:w="8950" w:type="dxa"/>
        <w:jc w:val="left"/>
        <w:tblInd w:w="0" w:type="dxa"/>
        <w:tblLayout w:type="fixed"/>
        <w:tblCellMar>
          <w:top w:w="0" w:type="dxa"/>
          <w:left w:w="0" w:type="dxa"/>
          <w:bottom w:w="0" w:type="dxa"/>
          <w:right w:w="0" w:type="dxa"/>
        </w:tblCellMar>
      </w:tblPr>
      <w:tblGrid>
        <w:gridCol w:w="60"/>
        <w:gridCol w:w="170"/>
        <w:gridCol w:w="8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applicable, the minimum or maximum amount of the debt warrants that may be exercised at any one time;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whether the debt warrants represented by the debt warrant certificates or debt securities that may be issued upon exercise of the debt warrants will be issued in registered or bearer form;</w:t>
            </w:r>
          </w:p>
        </w:tc>
      </w:tr>
    </w:tbl>
    <w:tbl>
      <w:tblPr>
        <w:tblW w:w="4930" w:type="dxa"/>
        <w:jc w:val="left"/>
        <w:tblInd w:w="0" w:type="dxa"/>
        <w:tblLayout w:type="fixed"/>
        <w:tblCellMar>
          <w:top w:w="0" w:type="dxa"/>
          <w:left w:w="0" w:type="dxa"/>
          <w:bottom w:w="0" w:type="dxa"/>
          <w:right w:w="0" w:type="dxa"/>
        </w:tblCellMar>
      </w:tblPr>
      <w:tblGrid>
        <w:gridCol w:w="60"/>
        <w:gridCol w:w="170"/>
        <w:gridCol w:w="47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information with respect to book-entry procedures, if any;</w:t>
            </w:r>
          </w:p>
        </w:tc>
      </w:tr>
    </w:tbl>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currency or currency units in which the offering price, if any, and the exercise price are payable;</w:t>
            </w:r>
          </w:p>
        </w:tc>
      </w:tr>
    </w:tbl>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applicable, a discussion of material U.S. federal income tax considerations;</w:t>
            </w:r>
          </w:p>
        </w:tc>
      </w:tr>
    </w:tbl>
    <w:tbl>
      <w:tblPr>
        <w:tblW w:w="4675" w:type="dxa"/>
        <w:jc w:val="left"/>
        <w:tblInd w:w="0" w:type="dxa"/>
        <w:tblLayout w:type="fixed"/>
        <w:tblCellMar>
          <w:top w:w="0" w:type="dxa"/>
          <w:left w:w="0" w:type="dxa"/>
          <w:bottom w:w="0" w:type="dxa"/>
          <w:right w:w="0" w:type="dxa"/>
        </w:tblCellMar>
      </w:tblPr>
      <w:tblGrid>
        <w:gridCol w:w="60"/>
        <w:gridCol w:w="170"/>
        <w:gridCol w:w="44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antidilution provisions of the debt warrants, if any;</w:t>
            </w:r>
          </w:p>
        </w:tc>
      </w:tr>
    </w:tbl>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redemption or call provisions, if any, applicable to the debt warrants;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provisions with respect to the holder’s right to require us to repurchase the warrants upon a change in control or similar event;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additional terms of the debt warrants, including procedures, and limitations relating to the exchange, exercise and settlement of the debt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Debt warrant certificates will be exchangeable for new debt warrant certificates of different denominations. Debt warrants may be exercised at the corporate trust office of the warrant agent or any other office indicated in the prospectus supplement or free writing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Prior to the exercise of their debt warrants, holders of debt warrants will not have any of the rights of holders of the debt securities purchasable upon exercise and will not be entitled to payment of principal or any premium, if any, or interest on the debt securities purchasable upon exercise or to enforce covenants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Equity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prospectus supplement or free writing prospectus relating to a particular series of warrants to purchase our common stock or preferred stock will describe the terms of the warrants, including the following:</w:t>
      </w:r>
    </w:p>
    <w:p>
      <w:pPr>
        <w:pStyle w:val="TextBody"/>
        <w:bidi w:val="0"/>
        <w:spacing w:before="0" w:after="0"/>
        <w:ind w:left="0" w:right="0" w:hanging="0"/>
        <w:jc w:val="left"/>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60"/>
        <w:gridCol w:w="170"/>
        <w:gridCol w:w="1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title of the warrants;</w:t>
            </w:r>
          </w:p>
        </w:tc>
      </w:tr>
    </w:tbl>
    <w:tbl>
      <w:tblPr>
        <w:tblW w:w="3550" w:type="dxa"/>
        <w:jc w:val="left"/>
        <w:tblInd w:w="0" w:type="dxa"/>
        <w:tblLayout w:type="fixed"/>
        <w:tblCellMar>
          <w:top w:w="0" w:type="dxa"/>
          <w:left w:w="0" w:type="dxa"/>
          <w:bottom w:w="0" w:type="dxa"/>
          <w:right w:w="0" w:type="dxa"/>
        </w:tblCellMar>
      </w:tblPr>
      <w:tblGrid>
        <w:gridCol w:w="60"/>
        <w:gridCol w:w="170"/>
        <w:gridCol w:w="33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offering price for the warrants, if any;</w:t>
            </w:r>
          </w:p>
        </w:tc>
      </w:tr>
    </w:tbl>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aggregate number of warrants;</w:t>
            </w:r>
          </w:p>
        </w:tc>
      </w:tr>
    </w:tbl>
    <w:tbl>
      <w:tblPr>
        <w:tblW w:w="9850" w:type="dxa"/>
        <w:jc w:val="left"/>
        <w:tblInd w:w="0" w:type="dxa"/>
        <w:tblLayout w:type="fixed"/>
        <w:tblCellMar>
          <w:top w:w="0" w:type="dxa"/>
          <w:left w:w="0" w:type="dxa"/>
          <w:bottom w:w="0" w:type="dxa"/>
          <w:right w:w="0" w:type="dxa"/>
        </w:tblCellMar>
      </w:tblPr>
      <w:tblGrid>
        <w:gridCol w:w="60"/>
        <w:gridCol w:w="170"/>
        <w:gridCol w:w="9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designation and terms of the common stock or preferred stock that may be purchased upon exercise of the warrants;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applicable, the designation and terms of the securities with which the warrants are issued and the number of warrants issued with each security;</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applicable, the date from and after which the warrants and any securities issued with the warrants will be separately transferable;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number of shares of common stock or preferred stock that may be purchased upon exercise of a warrant and the exercise price for the warrants;</w:t>
            </w:r>
          </w:p>
        </w:tc>
      </w:tr>
    </w:tbl>
    <w:tbl>
      <w:tblPr>
        <w:tblW w:w="6745" w:type="dxa"/>
        <w:jc w:val="left"/>
        <w:tblInd w:w="0" w:type="dxa"/>
        <w:tblLayout w:type="fixed"/>
        <w:tblCellMar>
          <w:top w:w="0" w:type="dxa"/>
          <w:left w:w="0" w:type="dxa"/>
          <w:bottom w:w="0" w:type="dxa"/>
          <w:right w:w="0" w:type="dxa"/>
        </w:tblCellMar>
      </w:tblPr>
      <w:tblGrid>
        <w:gridCol w:w="60"/>
        <w:gridCol w:w="170"/>
        <w:gridCol w:w="6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dates on which the right to exercise the warrants shall commence and expire;</w:t>
            </w:r>
          </w:p>
        </w:tc>
      </w:tr>
    </w:tbl>
    <w:tbl>
      <w:tblPr>
        <w:tblW w:w="8545" w:type="dxa"/>
        <w:jc w:val="left"/>
        <w:tblInd w:w="0" w:type="dxa"/>
        <w:tblLayout w:type="fixed"/>
        <w:tblCellMar>
          <w:top w:w="0" w:type="dxa"/>
          <w:left w:w="0" w:type="dxa"/>
          <w:bottom w:w="0" w:type="dxa"/>
          <w:right w:w="0" w:type="dxa"/>
        </w:tblCellMar>
      </w:tblPr>
      <w:tblGrid>
        <w:gridCol w:w="60"/>
        <w:gridCol w:w="170"/>
        <w:gridCol w:w="83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applicable, the minimum or maximum amount of the warrants that may be exercised at any one time;</w:t>
            </w:r>
          </w:p>
        </w:tc>
      </w:tr>
    </w:tbl>
    <w:tbl>
      <w:tblPr>
        <w:tblW w:w="8290" w:type="dxa"/>
        <w:jc w:val="left"/>
        <w:tblInd w:w="0" w:type="dxa"/>
        <w:tblLayout w:type="fixed"/>
        <w:tblCellMar>
          <w:top w:w="0" w:type="dxa"/>
          <w:left w:w="0" w:type="dxa"/>
          <w:bottom w:w="0" w:type="dxa"/>
          <w:right w:w="0" w:type="dxa"/>
        </w:tblCellMar>
      </w:tblPr>
      <w:tblGrid>
        <w:gridCol w:w="60"/>
        <w:gridCol w:w="170"/>
        <w:gridCol w:w="80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currency or currency units in which the offering price, if any, and the exercise price are payable;</w:t>
            </w:r>
          </w:p>
        </w:tc>
      </w:tr>
    </w:tbl>
    <w:tbl>
      <w:tblPr>
        <w:tblW w:w="6475" w:type="dxa"/>
        <w:jc w:val="left"/>
        <w:tblInd w:w="0" w:type="dxa"/>
        <w:tblLayout w:type="fixed"/>
        <w:tblCellMar>
          <w:top w:w="0" w:type="dxa"/>
          <w:left w:w="0" w:type="dxa"/>
          <w:bottom w:w="0" w:type="dxa"/>
          <w:right w:w="0" w:type="dxa"/>
        </w:tblCellMar>
      </w:tblPr>
      <w:tblGrid>
        <w:gridCol w:w="60"/>
        <w:gridCol w:w="170"/>
        <w:gridCol w:w="62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applicable, a discussion of material U.S. federal income tax considerations;</w:t>
            </w:r>
          </w:p>
        </w:tc>
      </w:tr>
    </w:tbl>
    <w:tbl>
      <w:tblPr>
        <w:tblW w:w="4270" w:type="dxa"/>
        <w:jc w:val="left"/>
        <w:tblInd w:w="0" w:type="dxa"/>
        <w:tblLayout w:type="fixed"/>
        <w:tblCellMar>
          <w:top w:w="0" w:type="dxa"/>
          <w:left w:w="0" w:type="dxa"/>
          <w:bottom w:w="0" w:type="dxa"/>
          <w:right w:w="0" w:type="dxa"/>
        </w:tblCellMar>
      </w:tblPr>
      <w:tblGrid>
        <w:gridCol w:w="60"/>
        <w:gridCol w:w="170"/>
        <w:gridCol w:w="40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0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antidilution provisions of the warrants, if any;</w:t>
            </w:r>
          </w:p>
        </w:tc>
      </w:tr>
    </w:tbl>
    <w:tbl>
      <w:tblPr>
        <w:tblW w:w="5725" w:type="dxa"/>
        <w:jc w:val="left"/>
        <w:tblInd w:w="0" w:type="dxa"/>
        <w:tblLayout w:type="fixed"/>
        <w:tblCellMar>
          <w:top w:w="0" w:type="dxa"/>
          <w:left w:w="0" w:type="dxa"/>
          <w:bottom w:w="0" w:type="dxa"/>
          <w:right w:w="0" w:type="dxa"/>
        </w:tblCellMar>
      </w:tblPr>
      <w:tblGrid>
        <w:gridCol w:w="60"/>
        <w:gridCol w:w="170"/>
        <w:gridCol w:w="54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redemption or call provisions, if any, applicable to the warrants;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provisions with respect to holder’s right to require us to repurchase the warrants upon a change in control or similar event;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additional terms of the warrants, including procedures, and limitations relating to the exchange, exercise and settlement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Holders of equity warrants will not be entitled:</w:t>
      </w:r>
    </w:p>
    <w:p>
      <w:pPr>
        <w:pStyle w:val="TextBody"/>
        <w:bidi w:val="0"/>
        <w:spacing w:before="0" w:after="0"/>
        <w:ind w:left="0" w:right="0" w:hanging="0"/>
        <w:jc w:val="left"/>
        <w:rPr>
          <w:caps w:val="false"/>
          <w:smallCaps w:val="false"/>
        </w:rPr>
      </w:pPr>
      <w:r>
        <w:rPr>
          <w:caps w:val="false"/>
          <w:smallCaps w:val="false"/>
        </w:rPr>
        <w:t> </w:t>
      </w:r>
    </w:p>
    <w:tbl>
      <w:tblPr>
        <w:tblW w:w="3295" w:type="dxa"/>
        <w:jc w:val="left"/>
        <w:tblInd w:w="0" w:type="dxa"/>
        <w:tblLayout w:type="fixed"/>
        <w:tblCellMar>
          <w:top w:w="0" w:type="dxa"/>
          <w:left w:w="0" w:type="dxa"/>
          <w:bottom w:w="0" w:type="dxa"/>
          <w:right w:w="0" w:type="dxa"/>
        </w:tblCellMar>
      </w:tblPr>
      <w:tblGrid>
        <w:gridCol w:w="60"/>
        <w:gridCol w:w="170"/>
        <w:gridCol w:w="30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vote, consent or receive dividends;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receive notice as stockholders with respect to any meeting of stockholders for the election of our directors or any other matter; or</w:t>
            </w:r>
          </w:p>
        </w:tc>
      </w:tr>
    </w:tbl>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exercise any rights as stockholders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warrant will entitle the holder to purchase the securities into which the warrant is exercisable, as specified in the applicable prospectus supplement or free writing prospectus, at the exercise price that we describe in the applicable prospectus supplement or free writing prospectus. The warrants may be exercised as set forth in the prospectus supplement or free writing prospectus relating to the warrants offered. Unless we otherwise specify in the applicable prospectus supplement or free writing prospectus, warrants may be exercised at any time up to the close of business on the expiration date set forth in the prospectus supplement or free writing prospectus relating to the warrants offered thereby. After the close of business on the expiration date, unexercised warrants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Upon receipt of payment and the warrant certificate or agreement, as applicable, properly completed and duly executed at the corporate trust office of the warrant agent, if any, or any other office, including ours, indicated in the prospectus supplement or free writing prospectus, we will, as soon as practicable, issue and deliver the securities purchasable upon such exercise. If less than all of the warrants represented by such warrant certificate or agreement are exercised, a new warrant certificate or agreement will be issued for the remaining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Unless we provide otherwise in the applicable prospectus supplement or free writing prospectus, the warrants and warrant agreements will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Enforceability of Rights by Holders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warrant agent, if any,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 w:hAnsi="Times New Roman"/>
          <w:b/>
          <w:caps w:val="false"/>
          <w:smallCaps w:val="false"/>
          <w:sz w:val="20"/>
        </w:rPr>
      </w:pPr>
      <w:bookmarkStart w:id="12" w:name="plan"/>
      <w:bookmarkEnd w:id="12"/>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170"/>
        <w:gridCol w:w="3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a fixed price or prices, which may be changed;</w:t>
            </w:r>
          </w:p>
        </w:tc>
      </w:tr>
    </w:tbl>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market prices prevailing at the times of sale;</w:t>
            </w:r>
          </w:p>
        </w:tc>
      </w:tr>
    </w:tbl>
    <w:tbl>
      <w:tblPr>
        <w:tblW w:w="4435" w:type="dxa"/>
        <w:jc w:val="left"/>
        <w:tblInd w:w="0" w:type="dxa"/>
        <w:tblLayout w:type="fixed"/>
        <w:tblCellMar>
          <w:top w:w="0" w:type="dxa"/>
          <w:left w:w="0" w:type="dxa"/>
          <w:bottom w:w="0" w:type="dxa"/>
          <w:right w:w="0" w:type="dxa"/>
        </w:tblCellMar>
      </w:tblPr>
      <w:tblGrid>
        <w:gridCol w:w="60"/>
        <w:gridCol w:w="170"/>
        <w:gridCol w:w="42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prices related to such prevailing market prices; or</w:t>
            </w:r>
          </w:p>
        </w:tc>
      </w:tr>
    </w:tbl>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 prospectus supplement or supplements (and any related free writing prospectus that we may authorize to be provided to you) will describe the terms of the offering of the securities, including, to the extent applicable:</w:t>
      </w:r>
    </w:p>
    <w:p>
      <w:pPr>
        <w:pStyle w:val="TextBody"/>
        <w:bidi w:val="0"/>
        <w:spacing w:before="0" w:after="0"/>
        <w:ind w:left="0" w:right="0" w:hanging="0"/>
        <w:jc w:val="left"/>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name or names of the underwriters, if any;</w:t>
            </w:r>
          </w:p>
        </w:tc>
      </w:tr>
    </w:tbl>
    <w:tbl>
      <w:tblPr>
        <w:tblW w:w="10000" w:type="dxa"/>
        <w:jc w:val="left"/>
        <w:tblInd w:w="0" w:type="dxa"/>
        <w:tblLayout w:type="fixed"/>
        <w:tblCellMar>
          <w:top w:w="0" w:type="dxa"/>
          <w:left w:w="0" w:type="dxa"/>
          <w:bottom w:w="0" w:type="dxa"/>
          <w:right w:w="0" w:type="dxa"/>
        </w:tblCellMar>
      </w:tblPr>
      <w:tblGrid>
        <w:gridCol w:w="60"/>
        <w:gridCol w:w="170"/>
        <w:gridCol w:w="97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7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purchase price of the securities or other consideration therefor, and the proceeds, if any, we will receive from the sale;</w:t>
            </w:r>
          </w:p>
        </w:tc>
      </w:tr>
    </w:tbl>
    <w:tbl>
      <w:tblPr>
        <w:tblW w:w="8110" w:type="dxa"/>
        <w:jc w:val="left"/>
        <w:tblInd w:w="0" w:type="dxa"/>
        <w:tblLayout w:type="fixed"/>
        <w:tblCellMar>
          <w:top w:w="0" w:type="dxa"/>
          <w:left w:w="0" w:type="dxa"/>
          <w:bottom w:w="0" w:type="dxa"/>
          <w:right w:w="0" w:type="dxa"/>
        </w:tblCellMar>
      </w:tblPr>
      <w:tblGrid>
        <w:gridCol w:w="60"/>
        <w:gridCol w:w="170"/>
        <w:gridCol w:w="78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over-allotment options under which underwriters may purchase additional securities from us;</w:t>
            </w:r>
          </w:p>
        </w:tc>
      </w:tr>
    </w:tbl>
    <w:tbl>
      <w:tblPr>
        <w:tblW w:w="9190" w:type="dxa"/>
        <w:jc w:val="left"/>
        <w:tblInd w:w="0" w:type="dxa"/>
        <w:tblLayout w:type="fixed"/>
        <w:tblCellMar>
          <w:top w:w="0" w:type="dxa"/>
          <w:left w:w="0" w:type="dxa"/>
          <w:bottom w:w="0" w:type="dxa"/>
          <w:right w:w="0" w:type="dxa"/>
        </w:tblCellMar>
      </w:tblPr>
      <w:tblGrid>
        <w:gridCol w:w="60"/>
        <w:gridCol w:w="170"/>
        <w:gridCol w:w="8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agency fees or underwriting discounts and other items constituting agents’ or underwriters’ compensation;</w:t>
            </w:r>
          </w:p>
        </w:tc>
      </w:tr>
    </w:tbl>
    <w:tbl>
      <w:tblPr>
        <w:tblW w:w="2320" w:type="dxa"/>
        <w:jc w:val="left"/>
        <w:tblInd w:w="0" w:type="dxa"/>
        <w:tblLayout w:type="fixed"/>
        <w:tblCellMar>
          <w:top w:w="0" w:type="dxa"/>
          <w:left w:w="0" w:type="dxa"/>
          <w:bottom w:w="0" w:type="dxa"/>
          <w:right w:w="0" w:type="dxa"/>
        </w:tblCellMar>
      </w:tblPr>
      <w:tblGrid>
        <w:gridCol w:w="60"/>
        <w:gridCol w:w="170"/>
        <w:gridCol w:w="20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public offering price;</w:t>
            </w:r>
          </w:p>
        </w:tc>
      </w:tr>
    </w:tbl>
    <w:tbl>
      <w:tblPr>
        <w:tblW w:w="6190" w:type="dxa"/>
        <w:jc w:val="left"/>
        <w:tblInd w:w="0" w:type="dxa"/>
        <w:tblLayout w:type="fixed"/>
        <w:tblCellMar>
          <w:top w:w="0" w:type="dxa"/>
          <w:left w:w="0" w:type="dxa"/>
          <w:bottom w:w="0" w:type="dxa"/>
          <w:right w:w="0" w:type="dxa"/>
        </w:tblCellMar>
      </w:tblPr>
      <w:tblGrid>
        <w:gridCol w:w="60"/>
        <w:gridCol w:w="170"/>
        <w:gridCol w:w="59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96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discounts or concessions allowed or reallowed or paid to dealers; and</w:t>
            </w:r>
          </w:p>
        </w:tc>
      </w:tr>
    </w:tbl>
    <w:tbl>
      <w:tblPr>
        <w:tblW w:w="6070" w:type="dxa"/>
        <w:jc w:val="left"/>
        <w:tblInd w:w="0" w:type="dxa"/>
        <w:tblLayout w:type="fixed"/>
        <w:tblCellMar>
          <w:top w:w="0" w:type="dxa"/>
          <w:left w:w="0" w:type="dxa"/>
          <w:bottom w:w="0" w:type="dxa"/>
          <w:right w:w="0" w:type="dxa"/>
        </w:tblCellMar>
      </w:tblPr>
      <w:tblGrid>
        <w:gridCol w:w="60"/>
        <w:gridCol w:w="170"/>
        <w:gridCol w:w="58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4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securities exchange or market on which the securities may be listed.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Only underwriters named in the prospectus supplement will be underwriters of the securities offered by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may provide agents and underwriters with indemnification against civil liabilities,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securities we may offer, other than common stock,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3" w:name="legal"/>
      <w:bookmarkEnd w:id="13"/>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validity of any securities offered from time to time by this prospectus and any related prospectus supplement will be passed upon by Taft Stettinius &amp; Hollister LLP. If legal matters in connection with offerings made pursuant to this prospectus and any related prospectus supplement are passed upon by counsel to underwriters, dealers or agents, if any, such counsel will be named in the prospectus supplement related to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4" w:name="exp"/>
      <w:bookmarkEnd w:id="14"/>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audited consolidated financial statements of Creative Realities, Inc. as of December 31, 2025 and 2024, and for each of the two years then ended,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5" w:name="where"/>
      <w:bookmarkEnd w:id="15"/>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a reporting company and file annual, quarterly and current reports, proxy statements and other information with the Commission. The Commission maintains an Internet site at http://www.sec.gov that contains reports, proxy and information statements and other information regarding issuers that file electronically with the Commission. Our Commission filings are available on the Commission’s Internet 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representations, warranties and covenants made by us in any agreement that is filed as an exhibit to the registration statement of which this prospectus is a part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made as of an earlier date. Accordingly, such representations, warranties and covenants should not be relied on as accurately representing the current state of our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maintain an Internet site at http://www.cri.com. Information found on, or accessible through, our website is not a part of, and is not incorporated into, this prospectus, and you should not consider it part of this prospectus or part of any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6" w:name="important"/>
      <w:bookmarkEnd w:id="16"/>
      <w:r>
        <w:rPr>
          <w:rFonts w:ascii="Times New Roman" w:hAnsi="Times New Roman"/>
          <w:b/>
          <w:caps w:val="false"/>
          <w:smallCaps w:val="false"/>
          <w:sz w:val="20"/>
        </w:rPr>
        <w:t>IMPORTANT INFORMATION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information into this prospectus, which means that we can disclose important information to you by referring you to another document filed separately with the SEC. You should read the information incorporated by reference because it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pStyle w:val="TextBody"/>
        <w:bidi w:val="0"/>
        <w:spacing w:before="0" w:after="0"/>
        <w:ind w:left="0" w:right="0" w:hanging="0"/>
        <w:jc w:val="left"/>
        <w:rPr>
          <w:caps w:val="false"/>
          <w:smallCaps w:val="false"/>
        </w:rPr>
      </w:pPr>
      <w:r>
        <w:rPr>
          <w:caps w:val="false"/>
          <w:smallCaps w:val="false"/>
        </w:rPr>
        <w:t> </w:t>
      </w:r>
    </w:p>
    <w:tbl>
      <w:tblPr>
        <w:tblW w:w="9460" w:type="dxa"/>
        <w:jc w:val="left"/>
        <w:tblInd w:w="0" w:type="dxa"/>
        <w:tblLayout w:type="fixed"/>
        <w:tblCellMar>
          <w:top w:w="0" w:type="dxa"/>
          <w:left w:w="0" w:type="dxa"/>
          <w:bottom w:w="0" w:type="dxa"/>
          <w:right w:w="0" w:type="dxa"/>
        </w:tblCellMar>
      </w:tblPr>
      <w:tblGrid>
        <w:gridCol w:w="60"/>
        <w:gridCol w:w="170"/>
        <w:gridCol w:w="9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3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Annual Report on Form 10-K for the fiscal year ended December 31, 2025, which was filed on </w:t>
            </w:r>
            <w:hyperlink r:id="rId3">
              <w:r>
                <w:rPr>
                  <w:rStyle w:val="InternetLink"/>
                  <w:rFonts w:ascii="Times New Roman;Times;serif" w:hAnsi="Times New Roman;Times;serif"/>
                  <w:caps w:val="false"/>
                  <w:smallCaps w:val="false"/>
                  <w:sz w:val="20"/>
                </w:rPr>
                <w:t>April 15,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60"/>
        <w:gridCol w:w="170"/>
        <w:gridCol w:w="95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1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Quarterly Report on Form 10-Q for the fiscal quarter ended March 31, 2026, filed with the SEC on </w:t>
            </w:r>
            <w:hyperlink r:id="rId4">
              <w:r>
                <w:rPr>
                  <w:rStyle w:val="InternetLink"/>
                  <w:rFonts w:ascii="Times New Roman;Times;serif" w:hAnsi="Times New Roman;Times;serif"/>
                  <w:caps w:val="false"/>
                  <w:smallCaps w:val="false"/>
                  <w:sz w:val="20"/>
                </w:rPr>
                <w:t>May 15, 2026</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60"/>
        <w:gridCol w:w="170"/>
        <w:gridCol w:w="70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01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Our Current Reports on Form 8-K filed on </w:t>
            </w:r>
            <w:hyperlink r:id="rId5">
              <w:r>
                <w:rPr>
                  <w:rStyle w:val="InternetLink"/>
                  <w:rFonts w:ascii="Times New Roman;Times;serif" w:hAnsi="Times New Roman;Times;serif"/>
                  <w:caps w:val="false"/>
                  <w:smallCaps w:val="false"/>
                  <w:sz w:val="20"/>
                </w:rPr>
                <w:t>January 2, 2026</w:t>
              </w:r>
            </w:hyperlink>
            <w:r>
              <w:rPr>
                <w:rFonts w:ascii="Times New Roman;Times;serif" w:hAnsi="Times New Roman;Times;serif"/>
                <w:caps w:val="false"/>
                <w:smallCaps w:val="false"/>
                <w:sz w:val="20"/>
              </w:rPr>
              <w:t xml:space="preserve"> and </w:t>
            </w:r>
            <w:hyperlink r:id="rId6">
              <w:r>
                <w:rPr>
                  <w:rStyle w:val="InternetLink"/>
                  <w:rFonts w:ascii="Times New Roman;Times;serif" w:hAnsi="Times New Roman;Times;serif"/>
                  <w:caps w:val="false"/>
                  <w:smallCaps w:val="false"/>
                  <w:sz w:val="20"/>
                </w:rPr>
                <w:t>February 18, 2026</w:t>
              </w:r>
            </w:hyperlink>
            <w:r>
              <w:rPr>
                <w:rFonts w:ascii="Times New Roman;Times;serif" w:hAnsi="Times New Roman;Times;serif"/>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The description of our common stock set forth in our Registration Statement on Form 8-A, filed on </w:t>
            </w:r>
            <w:hyperlink r:id="rId7">
              <w:r>
                <w:rPr>
                  <w:rStyle w:val="InternetLink"/>
                  <w:rFonts w:ascii="Times New Roman;Times;serif" w:hAnsi="Times New Roman;Times;serif"/>
                  <w:caps w:val="false"/>
                  <w:smallCaps w:val="false"/>
                  <w:sz w:val="20"/>
                </w:rPr>
                <w:t>November 14, 2018</w:t>
              </w:r>
            </w:hyperlink>
            <w:r>
              <w:rPr>
                <w:rFonts w:ascii="Times New Roman;Times;serif" w:hAnsi="Times New Roman;Times;serif"/>
                <w:caps w:val="false"/>
                <w:smallCaps w:val="false"/>
                <w:sz w:val="20"/>
              </w:rPr>
              <w:t xml:space="preserve">, including any amendments or reports filed for the purpose of updating such description, including the description under the caption “Description of Securities – Common Stock” included as Exhibit 4.2 to our Annual Report on Form 10-K for the fiscal year ended December 31, 2023, filed on </w:t>
            </w:r>
            <w:hyperlink r:id="rId8">
              <w:r>
                <w:rPr>
                  <w:rStyle w:val="InternetLink"/>
                  <w:rFonts w:ascii="Times New Roman;Times;serif" w:hAnsi="Times New Roman;Times;serif"/>
                  <w:caps w:val="false"/>
                  <w:smallCaps w:val="false"/>
                  <w:sz w:val="20"/>
                </w:rPr>
                <w:t>March 21, 2024</w:t>
              </w:r>
            </w:hyperlink>
            <w:r>
              <w:rPr>
                <w:rFonts w:ascii="Times New Roman;Times;serif" w:hAnsi="Times New Roman;Times;serif"/>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common stock made by this prospectus and will become a part of this prospectus from the date that such documents are filed with the SEC.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will provide at no cost to each person, including any beneficial owner, to whom a prospectus is delivered, a copy of any or all of the documents that are incorporated by reference in this prospectus but not delivered with this prospectus, including exhibits that are specifically incorporated by reference in such documents. You may request a copy of such documents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Creative Realities,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Attention: Corporate Secretary</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13100 Magisterial Drive, Suite 201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Louisville, KY 40223</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(502) 791-8800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$100,000,000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p>
      <w:pPr>
        <w:pStyle w:val="TextBody"/>
        <w:bidi w:val="0"/>
        <w:jc w:val="center"/>
        <w:rPr/>
      </w:pPr>
      <w:r>
        <w:rPr/>
        <w:drawing>
          <wp:inline distT="0" distB="0" distL="0" distR="0">
            <wp:extent cx="274320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743200" cy="476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Preferred Stock</w:t>
      </w:r>
      <w:r>
        <w:rPr>
          <w:rFonts w:ascii="Times New Roman" w:hAnsi="Times New Roman"/>
          <w:caps w:val="false"/>
          <w:smallCaps w:val="false"/>
          <w:sz w:val="20"/>
        </w:rPr>
        <w:br/>
      </w:r>
      <w:r>
        <w:rPr>
          <w:rFonts w:ascii="Times New Roman" w:hAnsi="Times New Roman"/>
          <w:b/>
          <w:caps w:val="false"/>
          <w:smallCaps w:val="false"/>
          <w:sz w:val="20"/>
        </w:rPr>
        <w:t>Warrants to Purchase Common Stock or Preferred Stock</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caps w:val="false"/>
          <w:smallCaps w:val="false"/>
          <w:sz w:val="20"/>
        </w:rPr>
        <w: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NOT REQUIRED IN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14. Other Expenses Of Issuance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fees and expenses, other than underwriting compensation, payable in connection with the registration of securities hereunder. All amounts are estimates except for the Commission registration fee. The assumed amount has been used to demonstrate the expenses of an offering and does not represent an estimate of the amount of securities that may be registered or distributed because such amount is unknown at this time.</w:t>
      </w:r>
    </w:p>
    <w:p>
      <w:pPr>
        <w:pStyle w:val="TextBody"/>
        <w:bidi w:val="0"/>
        <w:spacing w:before="0" w:after="0"/>
        <w:ind w:left="0" w:right="0" w:hanging="0"/>
        <w:jc w:val="left"/>
        <w:rPr>
          <w:caps w:val="false"/>
          <w:smallCaps w:val="false"/>
        </w:rPr>
      </w:pPr>
      <w:r>
        <w:rPr>
          <w:caps w:val="false"/>
          <w:smallCaps w:val="false"/>
        </w:rPr>
        <w:t> </w:t>
      </w:r>
    </w:p>
    <w:tbl>
      <w:tblPr>
        <w:tblW w:w="5660" w:type="dxa"/>
        <w:jc w:val="left"/>
        <w:tblInd w:w="0" w:type="dxa"/>
        <w:tblLayout w:type="fixed"/>
        <w:tblCellMar>
          <w:top w:w="0" w:type="dxa"/>
          <w:left w:w="0" w:type="dxa"/>
          <w:bottom w:w="0" w:type="dxa"/>
          <w:right w:w="0" w:type="dxa"/>
        </w:tblCellMar>
      </w:tblPr>
      <w:tblGrid>
        <w:gridCol w:w="4340"/>
        <w:gridCol w:w="60"/>
        <w:gridCol w:w="125"/>
        <w:gridCol w:w="845"/>
        <w:gridCol w:w="290"/>
      </w:tblGrid>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Securities and Exchange Commission registration fee</w:t>
            </w:r>
            <w:bookmarkStart w:id="17" w:name=".lead.2"/>
            <w:bookmarkEnd w:id="17"/>
          </w:p>
        </w:tc>
        <w:tc>
          <w:tcPr>
            <w:tcW w:w="60" w:type="dxa"/>
            <w:tcBorders/>
            <w:shd w:fill="CCEEFF" w:val="clear"/>
            <w:vAlign w:val="center"/>
          </w:tcPr>
          <w:p>
            <w:pPr>
              <w:pStyle w:val="TableContents"/>
              <w:bidi w:val="0"/>
              <w:spacing w:before="0" w:after="283"/>
              <w:ind w:left="0" w:right="0" w:hanging="0"/>
              <w:jc w:val="left"/>
              <w:rPr/>
            </w:pPr>
            <w:r>
              <w:rPr/>
              <w:t> </w:t>
            </w:r>
            <w:bookmarkStart w:id="18" w:name=".symb.2"/>
            <w:bookmarkEnd w:id="1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 w:name=".amt.2"/>
            <w:bookmarkEnd w:id="1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13,497.58</w:t>
            </w:r>
            <w:bookmarkStart w:id="20" w:name=".trail.2"/>
            <w:bookmarkEnd w:id="20"/>
          </w:p>
        </w:tc>
        <w:tc>
          <w:tcPr>
            <w:tcW w:w="290" w:type="dxa"/>
            <w:tcBorders/>
            <w:shd w:fill="CCEEFF" w:val="cle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(1)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fees and expenses</w:t>
            </w:r>
            <w:bookmarkStart w:id="21" w:name=".lead.21"/>
            <w:bookmarkStart w:id="22" w:name=".lead.22"/>
            <w:bookmarkEnd w:id="21"/>
            <w:bookmarkEnd w:id="22"/>
          </w:p>
        </w:tc>
        <w:tc>
          <w:tcPr>
            <w:tcW w:w="60" w:type="dxa"/>
            <w:tcBorders/>
            <w:shd w:fill="FFFFFF" w:val="clear"/>
            <w:vAlign w:val="center"/>
          </w:tcPr>
          <w:p>
            <w:pPr>
              <w:pStyle w:val="TableContents"/>
              <w:bidi w:val="0"/>
              <w:spacing w:before="0" w:after="283"/>
              <w:ind w:left="0" w:right="0" w:hanging="0"/>
              <w:jc w:val="left"/>
              <w:rPr/>
            </w:pPr>
            <w:r>
              <w:rPr/>
              <w:t> </w:t>
            </w:r>
            <w:bookmarkStart w:id="23" w:name=".symb.21"/>
            <w:bookmarkStart w:id="24" w:name=".symb.22"/>
            <w:bookmarkEnd w:id="23"/>
            <w:bookmarkEnd w:id="24"/>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 w:name=".amt.21"/>
            <w:bookmarkStart w:id="26" w:name=".amt.22"/>
            <w:bookmarkEnd w:id="25"/>
            <w:bookmarkEnd w:id="26"/>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 w:name=".trail.21"/>
            <w:bookmarkStart w:id="28" w:name=".trail.22"/>
            <w:bookmarkEnd w:id="27"/>
            <w:bookmarkEnd w:id="28"/>
          </w:p>
        </w:tc>
        <w:tc>
          <w:tcPr>
            <w:tcW w:w="29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fees and expenses</w:t>
            </w:r>
            <w:bookmarkStart w:id="29" w:name=".lead.23"/>
            <w:bookmarkStart w:id="30" w:name=".lead.24"/>
            <w:bookmarkEnd w:id="29"/>
            <w:bookmarkEnd w:id="30"/>
          </w:p>
        </w:tc>
        <w:tc>
          <w:tcPr>
            <w:tcW w:w="60" w:type="dxa"/>
            <w:tcBorders/>
            <w:shd w:fill="CCEEFF" w:val="clear"/>
            <w:vAlign w:val="center"/>
          </w:tcPr>
          <w:p>
            <w:pPr>
              <w:pStyle w:val="TableContents"/>
              <w:bidi w:val="0"/>
              <w:spacing w:before="0" w:after="283"/>
              <w:ind w:left="0" w:right="0" w:hanging="0"/>
              <w:jc w:val="left"/>
              <w:rPr/>
            </w:pPr>
            <w:r>
              <w:rPr/>
              <w:t> </w:t>
            </w:r>
            <w:bookmarkStart w:id="31" w:name=".symb.23"/>
            <w:bookmarkStart w:id="32" w:name=".symb.24"/>
            <w:bookmarkEnd w:id="31"/>
            <w:bookmarkEnd w:id="3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 w:name=".amt.23"/>
            <w:bookmarkStart w:id="34" w:name=".amt.24"/>
            <w:bookmarkEnd w:id="33"/>
            <w:bookmarkEnd w:id="34"/>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 w:name=".trail.23"/>
            <w:bookmarkStart w:id="36" w:name=".trail.24"/>
            <w:bookmarkEnd w:id="35"/>
            <w:bookmarkEnd w:id="36"/>
          </w:p>
        </w:tc>
        <w:tc>
          <w:tcPr>
            <w:tcW w:w="29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Printing and engraving expenses</w:t>
            </w:r>
            <w:bookmarkStart w:id="37" w:name=".lead.25"/>
            <w:bookmarkStart w:id="38" w:name=".lead.26"/>
            <w:bookmarkEnd w:id="37"/>
            <w:bookmarkEnd w:id="38"/>
          </w:p>
        </w:tc>
        <w:tc>
          <w:tcPr>
            <w:tcW w:w="60" w:type="dxa"/>
            <w:tcBorders/>
            <w:shd w:fill="FFFFFF" w:val="clear"/>
            <w:vAlign w:val="center"/>
          </w:tcPr>
          <w:p>
            <w:pPr>
              <w:pStyle w:val="TableContents"/>
              <w:bidi w:val="0"/>
              <w:spacing w:before="0" w:after="283"/>
              <w:ind w:left="0" w:right="0" w:hanging="0"/>
              <w:jc w:val="left"/>
              <w:rPr/>
            </w:pPr>
            <w:r>
              <w:rPr/>
              <w:t> </w:t>
            </w:r>
            <w:bookmarkStart w:id="39" w:name=".symb.25"/>
            <w:bookmarkStart w:id="40" w:name=".symb.26"/>
            <w:bookmarkEnd w:id="39"/>
            <w:bookmarkEnd w:id="40"/>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1" w:name=".amt.25"/>
            <w:bookmarkStart w:id="42" w:name=".amt.26"/>
            <w:bookmarkEnd w:id="41"/>
            <w:bookmarkEnd w:id="4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43" w:name=".trail.25"/>
            <w:bookmarkStart w:id="44" w:name=".trail.26"/>
            <w:bookmarkEnd w:id="43"/>
            <w:bookmarkEnd w:id="44"/>
          </w:p>
        </w:tc>
        <w:tc>
          <w:tcPr>
            <w:tcW w:w="29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Miscellaneous expenses</w:t>
            </w:r>
            <w:bookmarkStart w:id="45" w:name=".lead.27"/>
            <w:bookmarkStart w:id="46" w:name=".lead.28"/>
            <w:bookmarkEnd w:id="45"/>
            <w:bookmarkEnd w:id="46"/>
          </w:p>
        </w:tc>
        <w:tc>
          <w:tcPr>
            <w:tcW w:w="60" w:type="dxa"/>
            <w:tcBorders/>
            <w:shd w:fill="CCEEFF" w:val="clear"/>
            <w:vAlign w:val="center"/>
          </w:tcPr>
          <w:p>
            <w:pPr>
              <w:pStyle w:val="TableContents"/>
              <w:bidi w:val="0"/>
              <w:spacing w:before="0" w:after="283"/>
              <w:ind w:left="0" w:right="0" w:hanging="0"/>
              <w:jc w:val="left"/>
              <w:rPr/>
            </w:pPr>
            <w:r>
              <w:rPr/>
              <w:t> </w:t>
            </w:r>
            <w:bookmarkStart w:id="47" w:name=".symb.27"/>
            <w:bookmarkStart w:id="48" w:name=".symb.28"/>
            <w:bookmarkEnd w:id="47"/>
            <w:bookmarkEnd w:id="4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 w:name=".amt.27"/>
            <w:bookmarkStart w:id="50" w:name=".amt.28"/>
            <w:bookmarkEnd w:id="49"/>
            <w:bookmarkEnd w:id="5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1" w:name=".trail.27"/>
            <w:bookmarkStart w:id="52" w:name=".trail.28"/>
            <w:bookmarkEnd w:id="51"/>
            <w:bookmarkEnd w:id="52"/>
          </w:p>
        </w:tc>
        <w:tc>
          <w:tcPr>
            <w:tcW w:w="290" w:type="dxa"/>
            <w:tcBorders/>
            <w:shd w:fill="CCEEFF" w:val="clear"/>
            <w:vAlign w:val="center"/>
          </w:tcPr>
          <w:p>
            <w:pPr>
              <w:pStyle w:val="TableContents"/>
              <w:bidi w:val="0"/>
              <w:spacing w:before="0" w:after="283"/>
              <w:jc w:val="left"/>
              <w:rPr/>
            </w:pPr>
            <w:r>
              <w:rPr/>
              <w:t> </w:t>
            </w:r>
          </w:p>
        </w:tc>
      </w:tr>
      <w:tr>
        <w:trPr/>
        <w:tc>
          <w:tcPr>
            <w:tcW w:w="43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Blue sky fees and expenses</w:t>
            </w:r>
            <w:bookmarkStart w:id="53" w:name=".lead.29"/>
            <w:bookmarkStart w:id="54" w:name=".lead.210"/>
            <w:bookmarkEnd w:id="53"/>
            <w:bookmarkEnd w:id="54"/>
          </w:p>
        </w:tc>
        <w:tc>
          <w:tcPr>
            <w:tcW w:w="60" w:type="dxa"/>
            <w:tcBorders/>
            <w:shd w:fill="FFFFFF" w:val="clear"/>
            <w:vAlign w:val="center"/>
          </w:tcPr>
          <w:p>
            <w:pPr>
              <w:pStyle w:val="TableContents"/>
              <w:bidi w:val="0"/>
              <w:spacing w:before="0" w:after="283"/>
              <w:ind w:left="0" w:right="0" w:hanging="0"/>
              <w:jc w:val="left"/>
              <w:rPr/>
            </w:pPr>
            <w:r>
              <w:rPr/>
              <w:t> </w:t>
            </w:r>
            <w:bookmarkStart w:id="55" w:name=".symb.29"/>
            <w:bookmarkStart w:id="56" w:name=".symb.210"/>
            <w:bookmarkEnd w:id="55"/>
            <w:bookmarkEnd w:id="56"/>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 w:name=".amt.29"/>
            <w:bookmarkStart w:id="58" w:name=".amt.210"/>
            <w:bookmarkEnd w:id="57"/>
            <w:bookmarkEnd w:id="58"/>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59" w:name=".trail.29"/>
            <w:bookmarkStart w:id="60" w:name=".trail.210"/>
            <w:bookmarkEnd w:id="59"/>
            <w:bookmarkEnd w:id="60"/>
          </w:p>
        </w:tc>
        <w:tc>
          <w:tcPr>
            <w:tcW w:w="290" w:type="dxa"/>
            <w:tcBorders/>
            <w:shd w:fill="FFFFFF" w:val="clear"/>
            <w:vAlign w:val="center"/>
          </w:tcPr>
          <w:p>
            <w:pPr>
              <w:pStyle w:val="TableContents"/>
              <w:bidi w:val="0"/>
              <w:spacing w:before="0" w:after="283"/>
              <w:jc w:val="left"/>
              <w:rPr/>
            </w:pPr>
            <w:r>
              <w:rPr/>
              <w:t> </w:t>
            </w:r>
          </w:p>
        </w:tc>
      </w:tr>
      <w:tr>
        <w:trPr/>
        <w:tc>
          <w:tcPr>
            <w:tcW w:w="434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61" w:name=".lead.211"/>
            <w:bookmarkStart w:id="62" w:name=".lead.212"/>
            <w:bookmarkEnd w:id="61"/>
            <w:bookmarkEnd w:id="62"/>
          </w:p>
        </w:tc>
        <w:tc>
          <w:tcPr>
            <w:tcW w:w="60" w:type="dxa"/>
            <w:tcBorders/>
            <w:shd w:fill="CCEEFF" w:val="clear"/>
            <w:vAlign w:val="center"/>
          </w:tcPr>
          <w:p>
            <w:pPr>
              <w:pStyle w:val="TableContents"/>
              <w:bidi w:val="0"/>
              <w:spacing w:before="0" w:after="283"/>
              <w:ind w:left="0" w:right="0" w:hanging="0"/>
              <w:jc w:val="left"/>
              <w:rPr/>
            </w:pPr>
            <w:r>
              <w:rPr/>
              <w:t> </w:t>
            </w:r>
            <w:bookmarkStart w:id="63" w:name=".symb.211"/>
            <w:bookmarkStart w:id="64" w:name=".symb.212"/>
            <w:bookmarkEnd w:id="63"/>
            <w:bookmarkEnd w:id="64"/>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5" w:name=".amt.211"/>
            <w:bookmarkStart w:id="66" w:name=".amt.212"/>
            <w:bookmarkEnd w:id="65"/>
            <w:bookmarkEnd w:id="66"/>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67" w:name=".trail.211"/>
            <w:bookmarkStart w:id="68" w:name=".trail.212"/>
            <w:bookmarkEnd w:id="67"/>
            <w:bookmarkEnd w:id="68"/>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Reflects the registration fee for new securities registered on this registration and the registration fee previously paid in connection with unsold securities pursuant to Rule 415(a)(6) under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fees are calculated based on the securities offered and the number of issuances and accordingly cannot be estimated at this time. The applicable prospectus supplement will set forth the amount of expenses of any offering of securities.</w:t>
            </w:r>
          </w:p>
        </w:tc>
      </w:tr>
    </w:tbl>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15.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registrant is subject to Minnesota Statutes, Chapter 302A, the Minnesota Business Corporation Act (the “Corporation Act”). Section 302A.521 of the Corporation Act provides in substance that, unless prohibited by its articles of incorporation or bylaws, a Minnesota corporation must indemnify an officer or director who is made or threatened to be made a party to a proceeding by reason of the former or present official capacity of the person against judgments, penalties, fines, including, without limitation, excise taxes assessed against the person with respect to an employee benefit plan, settlements, and reasonable expenses, including attorneys’ fees and disbursements, incurred by such person in connection with the proceeding, if certain criteria are met. These criteria, all of which must be met by the person seeking indemnification, are as follows: (a) such person has not been indemnified by another organization or employee benefit plan for the same judgments, penalties, fines, including, without limitation, excise taxes assessed against the person with respect to an employee benefit plan, settlements, and reasonable expenses, including attorneys’ fees and disbursements, incurred by the person in connection with the proceeding with respect to the same acts or omissions; (b) such person must has acted in good faith; (c) such person received no improper personal benefit and satisfied certain statutory conflicts-of-interest provisions, if applicable; (d) in the case of a criminal proceeding, such person had no reasonable cause to believe that the conduct was unlawful; and (e) in the case of acts or omissions occurring in such person’s official capacity, such person must have acted in a manner such person reasonably believed was in the best interests of the corporation or, in certain limited circumstances, not opposed to the best interests of the corporation. In addition, Section 302A.521, subd. 3, requires payment by the registrant, upon written request, of reasonable expenses in advance of final disposition in certain instances. A decision as to required indemnification is made by a majority of the disinterested directors present at a meeting at which a disinterested quorum is present, or by a designated committee of disinterested directors, by special legal counsel, by the disinterested shareholders, or by a court.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registrant has entered into indemnification agreements with each of its directors and executive officers. Such agreements may require the registrant, among other things, to advance expenses and otherwise indemnify its executive officers and directors against certain liabilities that may arise by reason of their status or service as executive officers or directors,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registrant also maintains a director and officer insurance policy to cover the registrant, its directors and its officers against certain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Insofar as indemnification for liabilities arising under the Securities Act may be permitted for our directors, officers, and controlling persons pursuant to the foregoing provisions or otherwise, we have been advised that in the opinion of the SEC, such indemnification is against public policy as expressed in the Securities Act and is, therefore,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Item 16.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The following exhibits are filed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w:t>
            </w:r>
          </w:p>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Underwriting Agreement</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caps w:val="false"/>
                  <w:smallCaps w:val="false"/>
                  <w:sz w:val="20"/>
                </w:rPr>
                <w:t>Articles of Incorporation, as amended (incorporated by reference to Exhibit 3.1 to the Registrant’s Annual Report on Form 10-K for the fiscal year ended December 31, 2023 filed with the SEC on March 21, 2024)</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caps w:val="false"/>
                  <w:smallCaps w:val="false"/>
                  <w:sz w:val="20"/>
                </w:rPr>
                <w:t>Certificate of Designations, Preferences and Rights of Series A Convertible Preferred Stock (incorporated by reference to Exhibit 3.1 to the registrant’s Current Report on Form 8-K filed with the SEC on November 12, 2025)</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caps w:val="false"/>
                  <w:smallCaps w:val="false"/>
                  <w:sz w:val="20"/>
                </w:rPr>
                <w:t>Amended and Restated Bylaws (incorporated by reference to Exhibit 3 to the registrant’s Current Report on Form 8-K filed with the SEC on November 2, 2011)</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caps w:val="false"/>
                  <w:smallCaps w:val="false"/>
                  <w:sz w:val="20"/>
                </w:rPr>
                <w:t>Specimen certificate evidencing shares of Common Stock (incorporated by reference to Exhibit 4.2 of the Registrant’s Registration Statement on Form SB-2 (File No. 333-136972), filed with the SEC on August 29, 2006)</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Specimen certificate evidencing shares of Preferred Stock</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Debt Security</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ex_970622.htm">
              <w:r>
                <w:rPr>
                  <w:rStyle w:val="InternetLink"/>
                  <w:rFonts w:ascii="Times New Roman;Times;serif" w:hAnsi="Times New Roman;Times;serif"/>
                  <w:caps w:val="false"/>
                  <w:smallCaps w:val="false"/>
                  <w:sz w:val="20"/>
                </w:rPr>
                <w:t>Form of Indenture between the registrant and one or more trustees to be named</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Warrant</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Form of Warrant Agreement</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caps w:val="false"/>
                  <w:smallCaps w:val="false"/>
                  <w:sz w:val="20"/>
                </w:rPr>
                <w:t>Description of Securities (incorporated by reference to Exhibit 4.2 to the registrant’s Annual Report on Form 10-K for the fiscal year ended December 31, 2023 filed with the SEC on March 21, 2024)</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ex_970621.htm">
              <w:r>
                <w:rPr>
                  <w:rStyle w:val="InternetLink"/>
                  <w:rFonts w:ascii="Times New Roman;Times;serif" w:hAnsi="Times New Roman;Times;serif"/>
                  <w:caps w:val="false"/>
                  <w:smallCaps w:val="false"/>
                  <w:sz w:val="20"/>
                </w:rPr>
                <w:t>Opinion of Taft Stettinius &amp; Hollister LLP</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ex_970620.htm">
              <w:r>
                <w:rPr>
                  <w:rStyle w:val="InternetLink"/>
                  <w:rFonts w:ascii="Times New Roman;Times;serif" w:hAnsi="Times New Roman;Times;serif"/>
                  <w:caps w:val="false"/>
                  <w:smallCaps w:val="false"/>
                  <w:sz w:val="20"/>
                </w:rPr>
                <w:t>Consent of Grant Thornton LLP</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ex_970619.htm">
              <w:r>
                <w:rPr>
                  <w:rStyle w:val="InternetLink"/>
                  <w:rFonts w:ascii="Times New Roman;Times;serif" w:hAnsi="Times New Roman;Times;serif"/>
                  <w:caps w:val="false"/>
                  <w:smallCaps w:val="false"/>
                  <w:sz w:val="20"/>
                </w:rPr>
                <w:t>Consent of PricewaterhouseCoopers LLP</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23.3+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ex_970621.htm">
              <w:r>
                <w:rPr>
                  <w:rStyle w:val="InternetLink"/>
                  <w:rFonts w:ascii="Times New Roman;Times;serif" w:hAnsi="Times New Roman;Times;serif"/>
                  <w:caps w:val="false"/>
                  <w:smallCaps w:val="false"/>
                  <w:sz w:val="20"/>
                </w:rPr>
                <w:t>Consent of Taft Stettinius &amp; Hollister LLP (included as part of Exhibit 5.1)</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24.1+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poa">
              <w:r>
                <w:rPr>
                  <w:rStyle w:val="InternetLink"/>
                  <w:rFonts w:ascii="Times New Roman;Times;serif" w:hAnsi="Times New Roman;Times;serif"/>
                  <w:caps w:val="false"/>
                  <w:smallCaps w:val="false"/>
                  <w:sz w:val="20"/>
                </w:rPr>
                <w:t>Power of Attorney (included on signature page)</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25.1**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 of Eligibility of Trustee on Form T-1</w:t>
            </w:r>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caps w:val="false"/>
                  <w:smallCaps w:val="false"/>
                  <w:sz w:val="20"/>
                </w:rPr>
                <w:t>Audited consolidated financial statements of DDC Group International Inc. d/b/a Cineplex Digital Media as of and for the years ended December 31, 2024 and 2023 (incorporated by reference to Exhibit 99.3 to the registrant’s Amendment No. 1 to Current Report on Form 8-K/A filed with the SEC on December 19, 2025)</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99.2</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6">
              <w:r>
                <w:rPr>
                  <w:rStyle w:val="InternetLink"/>
                  <w:rFonts w:ascii="Times New Roman;Times;serif" w:hAnsi="Times New Roman;Times;serif"/>
                  <w:caps w:val="false"/>
                  <w:smallCaps w:val="false"/>
                  <w:sz w:val="20"/>
                </w:rPr>
                <w:t>Unaudited condensed consolidated interim financial information of DDC Group International Inc. d/b/a Cineplex Digital Media as of September 30, 2025 and December 31, 2024 and for the nine months ended September 30, 2025 and 2024 (incorporated by reference to Exhibit 99.1 to the registrant’s Amendment No. 1 to Current Report on Form 8-K/A filed with the SEC on December 19, 2025)</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99.3</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r:id="rId17">
              <w:r>
                <w:rPr>
                  <w:rStyle w:val="InternetLink"/>
                  <w:rFonts w:ascii="Times New Roman;Times;serif" w:hAnsi="Times New Roman;Times;serif"/>
                  <w:caps w:val="false"/>
                  <w:smallCaps w:val="false"/>
                  <w:sz w:val="20"/>
                </w:rPr>
                <w:t>Unaudited pro forma financial statements of the registrant and DDC Group International Inc. d/b/a Cineplex Digital Media as of December 31, 2024 and for the year then ended, and the unaudited pro forma financial information of the registrant and DDC Group International Inc. d/b/a Cineplex Digital Media as of September 30, 2025 and for the nine months then ended (incorporated by reference to Exhibit 99.2 to the registrant’s Amendment No. 1 to Current Report on Form 8-K/A filed with the SEC on December 19, 2025)</w:t>
              </w:r>
            </w:hyperlink>
          </w:p>
        </w:tc>
      </w:tr>
      <w:tr>
        <w:trPr/>
        <w:tc>
          <w:tcPr>
            <w:tcW w:w="7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0"/>
              <w:ind w:left="0" w:right="0" w:hanging="0"/>
              <w:jc w:val="left"/>
              <w:rPr/>
            </w:pPr>
            <w:hyperlink w:anchor="ex_970618.htm">
              <w:r>
                <w:rPr>
                  <w:rStyle w:val="InternetLink"/>
                  <w:rFonts w:ascii="Times New Roman;Times;serif" w:hAnsi="Times New Roman;Times;serif"/>
                  <w:caps w:val="false"/>
                  <w:smallCaps w:val="false"/>
                  <w:sz w:val="20"/>
                </w:rPr>
                <w:t>Filing Fee Table</w:t>
              </w:r>
            </w:hyperlink>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460" w:type="dxa"/>
        <w:jc w:val="left"/>
        <w:tblInd w:w="0" w:type="dxa"/>
        <w:tblLayout w:type="fixed"/>
        <w:tblCellMar>
          <w:top w:w="0" w:type="dxa"/>
          <w:left w:w="0" w:type="dxa"/>
          <w:bottom w:w="0" w:type="dxa"/>
          <w:right w:w="0" w:type="dxa"/>
        </w:tblCellMar>
      </w:tblPr>
      <w:tblGrid>
        <w:gridCol w:w="125"/>
        <w:gridCol w:w="9335"/>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be filed by amendment or as an exhibit to a report pursuant to Section 13(a), 13(c) or 15(d) of the Exchange Act.</w:t>
            </w:r>
          </w:p>
        </w:tc>
      </w:tr>
    </w:tbl>
    <w:p>
      <w:pPr>
        <w:pStyle w:val="TextBody"/>
        <w:bidi w:val="0"/>
        <w:spacing w:before="0" w:after="0"/>
        <w:ind w:left="0" w:right="0" w:hanging="0"/>
        <w:jc w:val="left"/>
        <w:rPr>
          <w:caps w:val="false"/>
          <w:smallCaps w:val="false"/>
        </w:rPr>
      </w:pPr>
      <w:r>
        <w:rPr>
          <w:caps w:val="false"/>
          <w:smallCaps w:val="false"/>
        </w:rPr>
        <w:t> </w:t>
      </w:r>
    </w:p>
    <w:tbl>
      <w:tblPr>
        <w:tblW w:w="9880" w:type="dxa"/>
        <w:jc w:val="left"/>
        <w:tblInd w:w="0" w:type="dxa"/>
        <w:tblLayout w:type="fixed"/>
        <w:tblCellMar>
          <w:top w:w="0" w:type="dxa"/>
          <w:left w:w="0" w:type="dxa"/>
          <w:bottom w:w="0" w:type="dxa"/>
          <w:right w:w="0" w:type="dxa"/>
        </w:tblCellMar>
      </w:tblPr>
      <w:tblGrid>
        <w:gridCol w:w="230"/>
        <w:gridCol w:w="965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be filed pursuant to Section 305(b)(2) of the Trust Indenture Act of 1939 at the time of an offering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1315" w:type="dxa"/>
        <w:jc w:val="left"/>
        <w:tblInd w:w="0" w:type="dxa"/>
        <w:tblLayout w:type="fixed"/>
        <w:tblCellMar>
          <w:top w:w="0" w:type="dxa"/>
          <w:left w:w="0" w:type="dxa"/>
          <w:bottom w:w="0" w:type="dxa"/>
          <w:right w:w="0" w:type="dxa"/>
        </w:tblCellMar>
      </w:tblPr>
      <w:tblGrid>
        <w:gridCol w:w="125"/>
        <w:gridCol w:w="1190"/>
      </w:tblGrid>
      <w:tr>
        <w:trPr/>
        <w:tc>
          <w:tcPr>
            <w:tcW w:w="1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Item 17. Undertakings. </w:t>
      </w:r>
    </w:p>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60"/>
        <w:gridCol w:w="230"/>
        <w:gridCol w:w="378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37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(1)         To file, during any period in which offers or sales are being made, a post-effective amendment to this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to include any prospectus required by section 10(a)(3) of the Securities Act of 1933;</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(5)         That, for the purpose of determining liability of the registrant under the Securities Act of 1933 to any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Each prospectus required to be filed pursuant to Rule 424(b)(2), 424(b)(5), or 424(b)(7) as part of a registration statement in reliance on Rule 430B relating to an offering made pursuant to Rule 415(a)(1)(i), 415(a)(1)(vii), or 415(a)(1)(x)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(6)         That, for the purpose of determining liability of the registrant under the Securities Act of 1933 to any purchaser in the initial distribution of the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 w:hAnsi="Times New Roman"/>
          <w:caps w:val="false"/>
          <w:smallCaps w:val="false"/>
          <w:sz w:val="20"/>
        </w:rPr>
      </w:pPr>
      <w:r>
        <w:rPr>
          <w:rFonts w:ascii="Times New Roman" w:hAnsi="Times New Roman"/>
          <w:caps w:val="false"/>
          <w:smallCaps w:val="false"/>
          <w:sz w:val="20"/>
        </w:rPr>
        <w:t>(iv)         Any other communication that is an offer in the offering made by the undersigned registrant to the purchaser.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(b)         The undersigned registrant hereby undertakes that, for the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(j)         If and when applicable, the undersigned registrant hereby undertakes to file an application for the purpose of determining the eligibility of the trustee to act under subsection (a) of Section 310 of the Trust Indenture Act in accordance with the rules and regulations prescribed by the Securities and Exchange Commission under Section 305(b)(2)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 w:hAnsi="Times New Roman"/>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Louisville, state of Kentucky, on June 4, 2026. </w:t>
      </w:r>
    </w:p>
    <w:p>
      <w:pPr>
        <w:pStyle w:val="TextBody"/>
        <w:bidi w:val="0"/>
        <w:spacing w:before="0" w:after="0"/>
        <w:ind w:left="0" w:right="0" w:hanging="0"/>
        <w:jc w:val="left"/>
        <w:rPr>
          <w:caps w:val="false"/>
          <w:smallCaps w:val="false"/>
        </w:rPr>
      </w:pPr>
      <w:r>
        <w:rPr>
          <w:caps w:val="false"/>
          <w:smallCaps w:val="false"/>
        </w:rPr>
        <w:t> </w:t>
      </w:r>
    </w:p>
    <w:tbl>
      <w:tblPr>
        <w:tblW w:w="2630" w:type="dxa"/>
        <w:jc w:val="left"/>
        <w:tblInd w:w="0" w:type="dxa"/>
        <w:tblLayout w:type="fixed"/>
        <w:tblCellMar>
          <w:top w:w="0" w:type="dxa"/>
          <w:left w:w="0" w:type="dxa"/>
          <w:bottom w:w="0" w:type="dxa"/>
          <w:right w:w="0" w:type="dxa"/>
        </w:tblCellMar>
      </w:tblPr>
      <w:tblGrid>
        <w:gridCol w:w="2630"/>
      </w:tblGrid>
      <w:tr>
        <w:trPr/>
        <w:tc>
          <w:tcPr>
            <w:tcW w:w="2630"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CREATIVE REALITIES, INC.</w:t>
            </w:r>
          </w:p>
        </w:tc>
      </w:tr>
      <w:tr>
        <w:trPr/>
        <w:tc>
          <w:tcPr>
            <w:tcW w:w="2630" w:type="dxa"/>
            <w:tcBorders/>
            <w:vAlign w:val="center"/>
          </w:tcPr>
          <w:p>
            <w:pPr>
              <w:pStyle w:val="TableContents"/>
              <w:bidi w:val="0"/>
              <w:spacing w:before="0" w:after="283"/>
              <w:jc w:val="left"/>
              <w:rPr/>
            </w:pPr>
            <w:r>
              <w:rPr/>
              <w:t> </w:t>
            </w:r>
          </w:p>
        </w:tc>
      </w:tr>
      <w:tr>
        <w:trPr/>
        <w:tc>
          <w:tcPr>
            <w:tcW w:w="263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Richard Mills</w:t>
            </w:r>
          </w:p>
        </w:tc>
      </w:tr>
      <w:tr>
        <w:trPr/>
        <w:tc>
          <w:tcPr>
            <w:tcW w:w="26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Richard Mills</w:t>
            </w:r>
          </w:p>
        </w:tc>
      </w:tr>
      <w:tr>
        <w:trPr/>
        <w:tc>
          <w:tcPr>
            <w:tcW w:w="26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69" w:name="poa"/>
      <w:bookmarkEnd w:id="69"/>
      <w:r>
        <w:rPr>
          <w:rFonts w:ascii="Times New Roman" w:hAnsi="Times New Roman"/>
          <w:b/>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Each person whose signature appears below hereby constitutes and appoints Richard Mills and Tamra Koshewa, and each of them, as his true and lawful attorneys-in-fact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Act of 1933, this registration statement has been signed by the following persons in the capacities and on the dates indicated below.</w:t>
      </w:r>
    </w:p>
    <w:p>
      <w:pPr>
        <w:pStyle w:val="TextBody"/>
        <w:bidi w:val="0"/>
        <w:spacing w:before="0" w:after="0"/>
        <w:ind w:left="0" w:right="0" w:hanging="0"/>
        <w:jc w:val="left"/>
        <w:rPr>
          <w:caps w:val="false"/>
          <w:smallCaps w:val="false"/>
        </w:rPr>
      </w:pPr>
      <w:r>
        <w:rPr>
          <w:caps w:val="false"/>
          <w:smallCaps w:val="false"/>
        </w:rPr>
        <w:t> </w:t>
      </w:r>
    </w:p>
    <w:tbl>
      <w:tblPr>
        <w:tblW w:w="6690" w:type="dxa"/>
        <w:jc w:val="left"/>
        <w:tblInd w:w="0" w:type="dxa"/>
        <w:tblLayout w:type="fixed"/>
        <w:tblCellMar>
          <w:top w:w="0" w:type="dxa"/>
          <w:left w:w="0" w:type="dxa"/>
          <w:bottom w:w="28" w:type="dxa"/>
          <w:right w:w="0" w:type="dxa"/>
        </w:tblCellMar>
      </w:tblPr>
      <w:tblGrid>
        <w:gridCol w:w="1625"/>
        <w:gridCol w:w="60"/>
        <w:gridCol w:w="3875"/>
        <w:gridCol w:w="60"/>
        <w:gridCol w:w="1070"/>
      </w:tblGrid>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387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07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Richard Mills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Chairman, Director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Richard Mills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Tamra Koshewa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Tamra Koshewa</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accounting and financial officer)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David Bell</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Bell</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Michael Bosco</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Michael Bosco</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Thomas B. Ellis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Thomas B. Ellis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Donald A. Harris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Donald A. Harris</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Dan McGrath</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 McGrath</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r>
        <w:trPr/>
        <w:tc>
          <w:tcPr>
            <w:tcW w:w="16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 Stephen Nesbit</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June 4, 2026</w:t>
            </w:r>
          </w:p>
        </w:tc>
      </w:tr>
      <w:tr>
        <w:trPr/>
        <w:tc>
          <w:tcPr>
            <w:tcW w:w="162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Stephen Nesbit</w:t>
            </w:r>
          </w:p>
        </w:tc>
        <w:tc>
          <w:tcPr>
            <w:tcW w:w="60" w:type="dxa"/>
            <w:tcBorders/>
            <w:tcMar>
              <w:bottom w:w="0" w:type="dxa"/>
            </w:tcMar>
            <w:vAlign w:val="center"/>
          </w:tcPr>
          <w:p>
            <w:pPr>
              <w:pStyle w:val="TableContents"/>
              <w:bidi w:val="0"/>
              <w:spacing w:before="0" w:after="283"/>
              <w:jc w:val="left"/>
              <w:rPr/>
            </w:pPr>
            <w:r>
              <w:rPr/>
              <w:t> </w:t>
            </w:r>
          </w:p>
        </w:tc>
        <w:tc>
          <w:tcPr>
            <w:tcW w:w="38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7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II-5</w:t>
      </w:r>
    </w:p>
    <w:p>
      <w:pPr>
        <w:pStyle w:val="TextBody"/>
        <w:bidi w:val="0"/>
        <w:spacing w:before="0" w:after="0"/>
        <w:ind w:left="0" w:right="0" w:hanging="0"/>
        <w:jc w:val="right"/>
        <w:rPr>
          <w:rFonts w:ascii="Times New Roman" w:hAnsi="Times New Roman"/>
          <w:b/>
          <w:caps w:val="false"/>
          <w:smallCaps w:val="false"/>
          <w:sz w:val="20"/>
        </w:rPr>
      </w:pPr>
      <w:bookmarkStart w:id="70" w:name="ex_970622.htm"/>
      <w:bookmarkStart w:id="71" w:name="ksex_970622"/>
      <w:bookmarkEnd w:id="70"/>
      <w:bookmarkEnd w:id="71"/>
      <w:r>
        <w:rPr>
          <w:rFonts w:ascii="Times New Roman" w:hAnsi="Times New Roman"/>
          <w:b/>
          <w:caps w:val="false"/>
          <w:smallCaps w:val="false"/>
          <w:sz w:val="20"/>
        </w:rPr>
        <w:t>Exhibit 4.4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CREATIVE REALITIES,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Dated as of,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pPr>
      <w:r>
        <w:rPr/>
        <w:t> </w:t>
      </w:r>
    </w:p>
    <w:tbl>
      <w:tblPr>
        <w:tblW w:w="9930" w:type="dxa"/>
        <w:jc w:val="left"/>
        <w:tblInd w:w="0" w:type="dxa"/>
        <w:tblLayout w:type="fixed"/>
        <w:tblCellMar>
          <w:top w:w="0" w:type="dxa"/>
          <w:left w:w="0" w:type="dxa"/>
          <w:bottom w:w="0" w:type="dxa"/>
          <w:right w:w="0" w:type="dxa"/>
        </w:tblCellMar>
      </w:tblPr>
      <w:tblGrid>
        <w:gridCol w:w="60"/>
        <w:gridCol w:w="1040"/>
        <w:gridCol w:w="60"/>
        <w:gridCol w:w="8270"/>
        <w:gridCol w:w="60"/>
        <w:gridCol w:w="440"/>
      </w:tblGrid>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1</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1.01</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Definitions of Terms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2</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ISSUE, DESCRIPTION, TERMS, EXECUTION, REGISTRATION AND EXCHANGE OF SECURITIES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2.01</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Designation and Terms of Securities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2.02</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Form of Securities and Trustee’s Certificate</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6</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2.03</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Denominations: Provisions for Payment</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6</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2.04</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Execution and Authentications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7</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2.05</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Registration of Transfer and Exchange</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8</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2.06</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Temporary Securities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9</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2.07</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Mutilated, Destroyed, Lost or Stolen Securities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9</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2.08</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Cancellation</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2.09</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Benefits of Indenture</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2.10</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Authenticating Agent</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2.11</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Securities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2.12</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CUSIP Numbers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11</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3</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REDEMPTION OF SECURITIES AND SINKING FUND PROVISIONS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12</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3.01</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Redemption</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12</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3.02</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of Redemption</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12</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3.03</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Upon Redemption</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13</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3.04</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Sinking Fund</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13</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3.05</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Satisfaction of Sinking Fund Payments with Securities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13</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3.06</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Redemption of Securities for Sinking Fund</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4</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COVENANTS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4.01</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Principal, Premium and Interest</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4.02</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Maintenance of Office or Agency</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4.03</w:t>
            </w:r>
          </w:p>
        </w:tc>
        <w:tc>
          <w:tcPr>
            <w:tcW w:w="60" w:type="dxa"/>
            <w:tcBorders/>
            <w:shd w:fill="CCEEFF" w:val="clear"/>
            <w:vAlign w:val="center"/>
          </w:tcPr>
          <w:p>
            <w:pPr>
              <w:pStyle w:val="TableContents"/>
              <w:bidi w:val="0"/>
              <w:spacing w:before="0" w:after="283"/>
              <w:jc w:val="left"/>
              <w:rPr/>
            </w:pPr>
            <w:r>
              <w:rPr/>
              <w:t> </w:t>
            </w:r>
          </w:p>
        </w:tc>
        <w:tc>
          <w:tcPr>
            <w:tcW w:w="82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Paying Agents</w:t>
            </w:r>
          </w:p>
        </w:tc>
        <w:tc>
          <w:tcPr>
            <w:tcW w:w="6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(continued)</w:t>
      </w:r>
    </w:p>
    <w:p>
      <w:pPr>
        <w:pStyle w:val="TextBody"/>
        <w:bidi w:val="0"/>
        <w:spacing w:before="0" w:after="0"/>
        <w:ind w:left="0" w:right="0" w:hanging="0"/>
        <w:jc w:val="left"/>
        <w:rPr/>
      </w:pPr>
      <w:r>
        <w:rPr/>
        <w:t> </w:t>
      </w:r>
    </w:p>
    <w:tbl>
      <w:tblPr>
        <w:tblW w:w="8745" w:type="dxa"/>
        <w:jc w:val="left"/>
        <w:tblInd w:w="0" w:type="dxa"/>
        <w:tblLayout w:type="fixed"/>
        <w:tblCellMar>
          <w:top w:w="0" w:type="dxa"/>
          <w:left w:w="0" w:type="dxa"/>
          <w:bottom w:w="0" w:type="dxa"/>
          <w:right w:w="0" w:type="dxa"/>
        </w:tblCellMar>
      </w:tblPr>
      <w:tblGrid>
        <w:gridCol w:w="60"/>
        <w:gridCol w:w="1040"/>
        <w:gridCol w:w="60"/>
        <w:gridCol w:w="7265"/>
        <w:gridCol w:w="60"/>
        <w:gridCol w:w="260"/>
      </w:tblGrid>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4.04</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Appointment to Fill Vacancy in Office of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15</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5</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SECURITYHOLDERS LISTS AND REPORTS BY THE COMPANY AND THE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15</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5.01</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to Furnish Trustee Names and Addresses of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15</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5.02</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Preservation Of Information; Communications With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16</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5.03</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Reports by the Company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16</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5.04</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Reports by the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16</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6</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REMEDIES OF THE TRUSTEE AND SECURITYHOLDERS ON EVENT OF DEFAULT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17</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6.01</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Events of Default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17</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6.02</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Collection of Indebtedness and Suits for Enforcement by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18</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6.03</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Application of Moneys Collected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19</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6.04</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Limitation on Suits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19</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6.05</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Rights and Remedies Cumulative; Delay or Omission Not Waiver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6.06</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Control by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6.07</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Undertaking to Pay Costs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20</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100"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7</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CONCERNING THE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21</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7.01</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Duties and Responsibilities of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21</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7.02</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Rights of Trustee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22</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7.03</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Trustee Not Responsible for Recitals or Issuance or Securities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23</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7.04</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May Hold Securities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23</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7.05</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Moneys Held in Trust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7.06</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and Reimbursement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7.07</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Reliance on Officer’s Certificate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7.08</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Disqualification; Conflicting Interests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24</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7.09</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Trustee Required; Eligibility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25</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7.10</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Resignation and Removal; Appointment of Successor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25</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7.11</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Acceptance of Appointment By Successor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26</w:t>
            </w:r>
          </w:p>
        </w:tc>
      </w:tr>
      <w:tr>
        <w:trPr/>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7.12</w:t>
            </w:r>
          </w:p>
        </w:tc>
        <w:tc>
          <w:tcPr>
            <w:tcW w:w="60" w:type="dxa"/>
            <w:tcBorders/>
            <w:shd w:fill="CCEEFF" w:val="clear"/>
            <w:vAlign w:val="center"/>
          </w:tcPr>
          <w:p>
            <w:pPr>
              <w:pStyle w:val="TableContents"/>
              <w:bidi w:val="0"/>
              <w:spacing w:before="0" w:after="283"/>
              <w:jc w:val="left"/>
              <w:rPr/>
            </w:pPr>
            <w:r>
              <w:rPr/>
              <w:t> </w:t>
            </w:r>
          </w:p>
        </w:tc>
        <w:tc>
          <w:tcPr>
            <w:tcW w:w="72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Merger, Conversion, Consolidation or Succession to Business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ii</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(continued)</w:t>
      </w:r>
    </w:p>
    <w:p>
      <w:pPr>
        <w:pStyle w:val="TextBody"/>
        <w:bidi w:val="0"/>
        <w:spacing w:before="0" w:after="0"/>
        <w:ind w:left="0" w:right="0" w:hanging="0"/>
        <w:jc w:val="left"/>
        <w:rPr/>
      </w:pPr>
      <w:r>
        <w:rPr/>
        <w:t> </w:t>
      </w:r>
    </w:p>
    <w:tbl>
      <w:tblPr>
        <w:tblW w:w="8715" w:type="dxa"/>
        <w:jc w:val="left"/>
        <w:tblInd w:w="0" w:type="dxa"/>
        <w:tblLayout w:type="fixed"/>
        <w:tblCellMar>
          <w:top w:w="0" w:type="dxa"/>
          <w:left w:w="0" w:type="dxa"/>
          <w:bottom w:w="0" w:type="dxa"/>
          <w:right w:w="0" w:type="dxa"/>
        </w:tblCellMar>
      </w:tblPr>
      <w:tblGrid>
        <w:gridCol w:w="60"/>
        <w:gridCol w:w="1145"/>
        <w:gridCol w:w="60"/>
        <w:gridCol w:w="7130"/>
        <w:gridCol w:w="60"/>
        <w:gridCol w:w="260"/>
      </w:tblGrid>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7.13</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Preferential Collection of Claims Against the Company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27</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7.14</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 of Default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27</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20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8</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CONCERNING THE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27</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8.01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Evidence of Action by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27</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8.02</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Proof of Execution by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28</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8.03</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Who May be Deemed Owners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28</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8.04</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Securities Owned by Company Disregarded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28</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8.05</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Actions Binding on Future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28</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20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9</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INDENTURES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29</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Indentures Without the Consent of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29</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9.02</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Indentures With Consent of Securityholders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29</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9.03</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of Supplemental Indentures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30</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9.04</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Affected by Supplemental Indentures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30</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9.05</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Execution of Supplemental Indentures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30</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20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10</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SUCCESSOR ENTITY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31</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10.01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Company May Consolidate, Etc</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31</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10.02</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Successor Entity Substituted</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31</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20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11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SATISFACTION AND DISCHARGE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31</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11.01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Satisfaction and Discharge of Indenture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31</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11.02</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Discharge of Obligations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32</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11.03</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Deposited Moneys to be Held in Trust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32</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11.04</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Moneys Held by Paying Agents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32</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11.05</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Repayment to Company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32</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120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12</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IMMUNITY OF INCORPORATORS, STOCKHOLDERS, OFFICERS AND DIRECTORS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12.01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 Recourse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1205" w:type="dxa"/>
            <w:gridSpan w:val="2"/>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ARTICLE 13</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MISCELLANEOUS PROVISIONS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13.01</w:t>
            </w:r>
          </w:p>
        </w:tc>
        <w:tc>
          <w:tcPr>
            <w:tcW w:w="60" w:type="dxa"/>
            <w:tcBorders/>
            <w:shd w:fill="CCEEFF" w:val="clear"/>
            <w:vAlign w:val="center"/>
          </w:tcPr>
          <w:p>
            <w:pPr>
              <w:pStyle w:val="TableContents"/>
              <w:bidi w:val="0"/>
              <w:spacing w:before="0" w:after="283"/>
              <w:jc w:val="left"/>
              <w:rPr/>
            </w:pPr>
            <w:r>
              <w:rPr/>
              <w:t> </w:t>
            </w:r>
          </w:p>
        </w:tc>
        <w:tc>
          <w:tcPr>
            <w:tcW w:w="71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 on Successors and Assigns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iii</w:t>
      </w:r>
    </w:p>
    <w:p>
      <w:pPr>
        <w:pStyle w:val="HorizontalLine"/>
        <w:pBdr>
          <w:bottom w:val="double" w:sz="2" w:space="0" w:color="808080"/>
        </w:pBdr>
        <w:bidi w:val="0"/>
        <w:spacing w:before="0" w:after="283"/>
        <w:jc w:val="left"/>
        <w:rPr/>
      </w:pPr>
      <w:r>
        <w:rPr/>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(continued)</w:t>
      </w:r>
    </w:p>
    <w:p>
      <w:pPr>
        <w:pStyle w:val="TextBody"/>
        <w:bidi w:val="0"/>
        <w:spacing w:before="0" w:after="0"/>
        <w:ind w:left="0" w:right="0" w:hanging="0"/>
        <w:jc w:val="left"/>
        <w:rPr/>
      </w:pPr>
      <w:r>
        <w:rPr/>
        <w:t> </w:t>
      </w:r>
    </w:p>
    <w:tbl>
      <w:tblPr>
        <w:tblW w:w="5895" w:type="dxa"/>
        <w:jc w:val="left"/>
        <w:tblInd w:w="0" w:type="dxa"/>
        <w:tblLayout w:type="fixed"/>
        <w:tblCellMar>
          <w:top w:w="0" w:type="dxa"/>
          <w:left w:w="0" w:type="dxa"/>
          <w:bottom w:w="0" w:type="dxa"/>
          <w:right w:w="0" w:type="dxa"/>
        </w:tblCellMar>
      </w:tblPr>
      <w:tblGrid>
        <w:gridCol w:w="60"/>
        <w:gridCol w:w="1145"/>
        <w:gridCol w:w="60"/>
        <w:gridCol w:w="4310"/>
        <w:gridCol w:w="60"/>
        <w:gridCol w:w="260"/>
      </w:tblGrid>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13.02</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Actions by Successor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13.03</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Surrender of Company Powers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13.04</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Notices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13.05</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Governing Law; Jury Trial Waiver</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33</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13.06</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Treatment of Securities as Debt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34</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13.07</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and Opinions as to Conditions Precedent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34</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13.08</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Payments on Business Days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34</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13.09</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Conflict with Trust Indenture Act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34</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13.10</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Counterparts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34</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13.11</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Separability</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35</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13.12</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Compliance Certificates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35</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center"/>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13.13</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U.S.A Patriot Act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35</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13.14</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Force Majeure</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35</w:t>
            </w:r>
          </w:p>
        </w:tc>
      </w:tr>
      <w:tr>
        <w:trPr/>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Section 13.15</w:t>
            </w:r>
          </w:p>
        </w:tc>
        <w:tc>
          <w:tcPr>
            <w:tcW w:w="60" w:type="dxa"/>
            <w:tcBorders/>
            <w:shd w:fill="CCEEFF" w:val="clear"/>
            <w:vAlign w:val="center"/>
          </w:tcPr>
          <w:p>
            <w:pPr>
              <w:pStyle w:val="TableContents"/>
              <w:bidi w:val="0"/>
              <w:spacing w:before="0" w:after="283"/>
              <w:jc w:val="left"/>
              <w:rPr/>
            </w:pPr>
            <w:r>
              <w:rPr/>
              <w:t> </w:t>
            </w:r>
          </w:p>
        </w:tc>
        <w:tc>
          <w:tcPr>
            <w:tcW w:w="43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Table of Contents; Headings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center"/>
              <w:rPr/>
            </w:pPr>
            <w:r>
              <w:rPr/>
              <w:t>35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iv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INDENTURE</w:t>
      </w:r>
      <w:r>
        <w:rPr>
          <w:rFonts w:ascii="Times New Roman" w:hAnsi="Times New Roman"/>
          <w:caps w:val="false"/>
          <w:smallCaps w:val="false"/>
          <w:sz w:val="20"/>
        </w:rPr>
        <w:t>, dated as of __________, 20__, among Creative Realities, Inc., a Minnesota corporation (the “</w:t>
      </w:r>
      <w:r>
        <w:rPr>
          <w:rFonts w:ascii="Times New Roman" w:hAnsi="Times New Roman"/>
          <w:b/>
          <w:i/>
          <w:caps w:val="false"/>
          <w:smallCaps w:val="false"/>
          <w:sz w:val="20"/>
        </w:rPr>
        <w:t>Company</w:t>
      </w:r>
      <w:r>
        <w:rPr>
          <w:rFonts w:ascii="Times New Roman" w:hAnsi="Times New Roman"/>
          <w:caps w:val="false"/>
          <w:smallCaps w:val="false"/>
          <w:sz w:val="20"/>
        </w:rPr>
        <w:t>”), and [</w:t>
      </w:r>
      <w:r>
        <w:rPr>
          <w:rFonts w:ascii="Times New Roman" w:hAnsi="Times New Roman"/>
          <w:b/>
          <w:caps w:val="false"/>
          <w:smallCaps w:val="false"/>
          <w:sz w:val="20"/>
        </w:rPr>
        <w:t>TRUSTEE</w:t>
      </w:r>
      <w:r>
        <w:rPr>
          <w:rFonts w:ascii="Times New Roman" w:hAnsi="Times New Roman"/>
          <w:caps w:val="false"/>
          <w:smallCaps w:val="false"/>
          <w:sz w:val="20"/>
        </w:rPr>
        <w:t>], as trustee (the “</w:t>
      </w:r>
      <w:r>
        <w:rPr>
          <w:rFonts w:ascii="Times New Roman" w:hAnsi="Times New Roman"/>
          <w:b/>
          <w:i/>
          <w:caps w:val="false"/>
          <w:smallCaps w:val="false"/>
          <w:sz w:val="20"/>
        </w:rPr>
        <w:t>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for its lawful corporate purposes, the Company has duly authorized the execution and delivery of this Indenture to provide for the issuance of debt securities (hereinafter referred to as the “</w:t>
      </w:r>
      <w:r>
        <w:rPr>
          <w:rFonts w:ascii="Times New Roman" w:hAnsi="Times New Roman"/>
          <w:b/>
          <w:i/>
          <w:caps w:val="false"/>
          <w:smallCaps w:val="false"/>
          <w:sz w:val="20"/>
        </w:rPr>
        <w:t>Securities</w:t>
      </w:r>
      <w:r>
        <w:rPr>
          <w:rFonts w:ascii="Times New Roman" w:hAnsi="Times New Roman"/>
          <w:caps w:val="false"/>
          <w:smallCaps w:val="false"/>
          <w:sz w:val="20"/>
        </w:rPr>
        <w:t>”), in an unlimited aggregate principal amount to be issued from time to time in one or more series as provided in this Indenture to be authenticated by the certificate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to provide the terms and conditions upon which the Securities are to be authenticated, issued and delivered, the Company has duly authorized the execution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WHEREAS</w:t>
      </w:r>
      <w:r>
        <w:rPr>
          <w:rFonts w:ascii="Times New Roman" w:hAnsi="Times New Roman"/>
          <w:caps w:val="false"/>
          <w:smallCaps w:val="false"/>
          <w:sz w:val="20"/>
        </w:rPr>
        <w:t>, all things necessary to make this Indenture a valid agreement of the Company,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NOW, THEREFORE</w:t>
      </w:r>
      <w:r>
        <w:rPr>
          <w:rFonts w:ascii="Times New Roman" w:hAnsi="Times New Roman"/>
          <w:caps w:val="false"/>
          <w:smallCaps w:val="false"/>
          <w:sz w:val="20"/>
        </w:rPr>
        <w:t>, in consideration of the premises and the purchase of the Securities by the holders thereof, it is mutually covenanted and agreed as follows for the equal and ratable benefit of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w:t>
      </w:r>
      <w:r>
        <w:rPr>
          <w:rFonts w:ascii="Times New Roman" w:hAnsi="Times New Roman"/>
          <w:caps w:val="false"/>
          <w:smallCaps w:val="false"/>
          <w:sz w:val="20"/>
        </w:rPr>
        <w:br/>
        <w:br/>
      </w: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1.01</w:t>
      </w:r>
      <w:r>
        <w:rPr>
          <w:rFonts w:ascii="Times New Roman" w:hAnsi="Times New Roman"/>
          <w:caps w:val="false"/>
          <w:smallCaps w:val="false"/>
          <w:sz w:val="20"/>
        </w:rPr>
        <w:t> </w:t>
      </w:r>
      <w:r>
        <w:rPr>
          <w:rFonts w:ascii="Times New Roman" w:hAnsi="Times New Roman"/>
          <w:b/>
          <w:caps w:val="false"/>
          <w:smallCaps w:val="false"/>
          <w:sz w:val="20"/>
        </w:rPr>
        <w:t>Definitions of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Authenticating Agent</w:t>
      </w:r>
      <w:r>
        <w:rPr>
          <w:rFonts w:ascii="Times New Roman" w:hAnsi="Times New Roman"/>
          <w:caps w:val="false"/>
          <w:smallCaps w:val="false"/>
          <w:sz w:val="20"/>
        </w:rPr>
        <w:t>” means the Trustee or an authenticating agent with respect to all or any of the series of Securities appointed by the Trustee pursuant to Section 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Bankruptcy Law</w:t>
      </w:r>
      <w:r>
        <w:rPr>
          <w:rFonts w:ascii="Times New Roman" w:hAnsi="Times New Roman"/>
          <w:caps w:val="false"/>
          <w:smallCaps w:val="false"/>
          <w:sz w:val="20"/>
        </w:rPr>
        <w:t>” means Title 11, U.S. Code, or any similar federal or state law for the relief of debtors.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Board of Directors</w:t>
      </w:r>
      <w:r>
        <w:rPr>
          <w:rFonts w:ascii="Times New Roman" w:hAnsi="Times New Roman"/>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Board Resolution</w:t>
      </w:r>
      <w:r>
        <w:rPr>
          <w:rFonts w:ascii="Times New Roman" w:hAnsi="Times New Roman"/>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Business Day</w:t>
      </w:r>
      <w:r>
        <w:rPr>
          <w:rFonts w:ascii="Times New Roman" w:hAnsi="Times New Roman"/>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Commission</w:t>
      </w:r>
      <w:r>
        <w:rPr>
          <w:rFonts w:ascii="Times New Roman" w:hAnsi="Times New Roman"/>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Company</w:t>
      </w:r>
      <w:r>
        <w:rPr>
          <w:rFonts w:ascii="Times New Roman" w:hAnsi="Times New Roman"/>
          <w:caps w:val="false"/>
          <w:smallCaps w:val="false"/>
          <w:sz w:val="20"/>
        </w:rPr>
        <w:t>” has the meaning set forth in the Preamble, and, subject to the provisions of Article Ten, shall also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Corporate Trust Office</w:t>
      </w:r>
      <w:r>
        <w:rPr>
          <w:rFonts w:ascii="Times New Roman" w:hAnsi="Times New Roman"/>
          <w:caps w:val="false"/>
          <w:smallCaps w:val="false"/>
          <w:sz w:val="20"/>
        </w:rPr>
        <w:t>” means the office of the Trustee at which, at any particular time, its corporate trust business shall be principally administered, which office at the date hereof is located at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Custodian</w:t>
      </w:r>
      <w:r>
        <w:rPr>
          <w:rFonts w:ascii="Times New Roman" w:hAnsi="Times New Roman"/>
          <w:caps w:val="false"/>
          <w:smallCaps w:val="false"/>
          <w:sz w:val="20"/>
        </w:rPr>
        <w:t>”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Defaulted Interest</w:t>
      </w:r>
      <w:r>
        <w:rPr>
          <w:rFonts w:ascii="Times New Roman" w:hAnsi="Times New Roman"/>
          <w:caps w:val="false"/>
          <w:smallCaps w:val="false"/>
          <w:sz w:val="20"/>
        </w:rPr>
        <w:t>” has the meaning set forth in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Depositary</w:t>
      </w:r>
      <w:r>
        <w:rPr>
          <w:rFonts w:ascii="Times New Roman" w:hAnsi="Times New Roman"/>
          <w:caps w:val="false"/>
          <w:smallCaps w:val="false"/>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Event of Default</w:t>
      </w:r>
      <w:r>
        <w:rPr>
          <w:rFonts w:ascii="Times New Roman" w:hAnsi="Times New Roman"/>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Exchange Act</w:t>
      </w:r>
      <w:r>
        <w:rPr>
          <w:rFonts w:ascii="Times New Roman" w:hAnsi="Times New Roman"/>
          <w:caps w:val="false"/>
          <w:smallCaps w:val="false"/>
          <w:sz w:val="20"/>
        </w:rPr>
        <w:t>” means the United States Securities and Exchange Act of 1934, as amended, and the rules and regulations promulgated by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term “</w:t>
      </w:r>
      <w:r>
        <w:rPr>
          <w:rFonts w:ascii="Times New Roman" w:hAnsi="Times New Roman"/>
          <w:b/>
          <w:i/>
          <w:caps w:val="false"/>
          <w:smallCaps w:val="false"/>
          <w:sz w:val="20"/>
        </w:rPr>
        <w:t>given</w:t>
      </w:r>
      <w:r>
        <w:rPr>
          <w:rFonts w:ascii="Times New Roman" w:hAnsi="Times New Roman"/>
          <w:caps w:val="false"/>
          <w:smallCaps w:val="false"/>
          <w:sz w:val="20"/>
        </w:rPr>
        <w:t>”, “</w:t>
      </w:r>
      <w:r>
        <w:rPr>
          <w:rFonts w:ascii="Times New Roman" w:hAnsi="Times New Roman"/>
          <w:b/>
          <w:i/>
          <w:caps w:val="false"/>
          <w:smallCaps w:val="false"/>
          <w:sz w:val="20"/>
        </w:rPr>
        <w:t>mailed</w:t>
      </w:r>
      <w:r>
        <w:rPr>
          <w:rFonts w:ascii="Times New Roman" w:hAnsi="Times New Roman"/>
          <w:caps w:val="false"/>
          <w:smallCaps w:val="false"/>
          <w:sz w:val="20"/>
        </w:rPr>
        <w:t>”, “</w:t>
      </w:r>
      <w:r>
        <w:rPr>
          <w:rFonts w:ascii="Times New Roman" w:hAnsi="Times New Roman"/>
          <w:b/>
          <w:i/>
          <w:caps w:val="false"/>
          <w:smallCaps w:val="false"/>
          <w:sz w:val="20"/>
        </w:rPr>
        <w:t>notify</w:t>
      </w:r>
      <w:r>
        <w:rPr>
          <w:rFonts w:ascii="Times New Roman" w:hAnsi="Times New Roman"/>
          <w:caps w:val="false"/>
          <w:smallCaps w:val="false"/>
          <w:sz w:val="20"/>
        </w:rPr>
        <w:t>” or “</w:t>
      </w:r>
      <w:r>
        <w:rPr>
          <w:rFonts w:ascii="Times New Roman" w:hAnsi="Times New Roman"/>
          <w:b/>
          <w:i/>
          <w:caps w:val="false"/>
          <w:smallCaps w:val="false"/>
          <w:sz w:val="20"/>
        </w:rPr>
        <w:t>sent</w:t>
      </w:r>
      <w:r>
        <w:rPr>
          <w:rFonts w:ascii="Times New Roman" w:hAnsi="Times New Roman"/>
          <w:caps w:val="false"/>
          <w:smallCaps w:val="false"/>
          <w:sz w:val="20"/>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Global Security</w:t>
      </w:r>
      <w:r>
        <w:rPr>
          <w:rFonts w:ascii="Times New Roman" w:hAnsi="Times New Roman"/>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this Indenture, which shall be registered in the name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Governmental Obligations</w:t>
      </w:r>
      <w:r>
        <w:rPr>
          <w:rFonts w:ascii="Times New Roman" w:hAnsi="Times New Roman"/>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herein</w:t>
      </w:r>
      <w:r>
        <w:rPr>
          <w:rFonts w:ascii="Times New Roman" w:hAnsi="Times New Roman"/>
          <w:caps w:val="false"/>
          <w:smallCaps w:val="false"/>
          <w:sz w:val="20"/>
        </w:rPr>
        <w:t>”, “</w:t>
      </w:r>
      <w:r>
        <w:rPr>
          <w:rFonts w:ascii="Times New Roman" w:hAnsi="Times New Roman"/>
          <w:b/>
          <w:i/>
          <w:caps w:val="false"/>
          <w:smallCaps w:val="false"/>
          <w:sz w:val="20"/>
        </w:rPr>
        <w:t>hereof</w:t>
      </w:r>
      <w:r>
        <w:rPr>
          <w:rFonts w:ascii="Times New Roman" w:hAnsi="Times New Roman"/>
          <w:caps w:val="false"/>
          <w:smallCaps w:val="false"/>
          <w:sz w:val="20"/>
        </w:rPr>
        <w:t>” and “</w:t>
      </w:r>
      <w:r>
        <w:rPr>
          <w:rFonts w:ascii="Times New Roman" w:hAnsi="Times New Roman"/>
          <w:b/>
          <w:i/>
          <w:caps w:val="false"/>
          <w:smallCaps w:val="false"/>
          <w:sz w:val="20"/>
        </w:rPr>
        <w:t>hereunder</w:t>
      </w:r>
      <w:r>
        <w:rPr>
          <w:rFonts w:ascii="Times New Roman" w:hAnsi="Times New Roman"/>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Indenture</w:t>
      </w:r>
      <w:r>
        <w:rPr>
          <w:rFonts w:ascii="Times New Roman" w:hAnsi="Times New Roman"/>
          <w:caps w:val="false"/>
          <w:smallCaps w:val="false"/>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Interest Payment Date</w:t>
      </w:r>
      <w:r>
        <w:rPr>
          <w:rFonts w:ascii="Times New Roman" w:hAnsi="Times New Roman"/>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Officer</w:t>
      </w:r>
      <w:r>
        <w:rPr>
          <w:rFonts w:ascii="Times New Roman" w:hAnsi="Times New Roman"/>
          <w:caps w:val="false"/>
          <w:smallCaps w:val="false"/>
          <w:sz w:val="20"/>
        </w:rPr>
        <w:t>” means, with respect to the Company, a chief executive officer, a president, a chief financial officer, a chief operating officer, a chief legal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Officer</w:t>
      </w:r>
      <w:r>
        <w:rPr>
          <w:rFonts w:ascii="Times New Roman" w:hAnsi="Times New Roman"/>
          <w:caps w:val="false"/>
          <w:smallCaps w:val="false"/>
          <w:sz w:val="20"/>
        </w:rPr>
        <w:t>’</w:t>
      </w:r>
      <w:r>
        <w:rPr>
          <w:rFonts w:ascii="Times New Roman" w:hAnsi="Times New Roman"/>
          <w:b/>
          <w:i/>
          <w:caps w:val="false"/>
          <w:smallCaps w:val="false"/>
          <w:sz w:val="20"/>
        </w:rPr>
        <w:t>s Certificate</w:t>
      </w:r>
      <w:r>
        <w:rPr>
          <w:rFonts w:ascii="Times New Roman" w:hAnsi="Times New Roman"/>
          <w:caps w:val="false"/>
          <w:smallCaps w:val="false"/>
          <w:sz w:val="20"/>
        </w:rPr>
        <w:t>” means a certificate signed by any Officer. Each such certificate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Opinion of Counsel</w:t>
      </w:r>
      <w:r>
        <w:rPr>
          <w:rFonts w:ascii="Times New Roman" w:hAnsi="Times New Roman"/>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Outstanding</w:t>
      </w:r>
      <w:r>
        <w:rPr>
          <w:rFonts w:ascii="Times New Roman" w:hAnsi="Times New Roman"/>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Person</w:t>
      </w:r>
      <w:r>
        <w:rPr>
          <w:rFonts w:ascii="Times New Roman" w:hAnsi="Times New Roman"/>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Predecessor Security</w:t>
      </w:r>
      <w:r>
        <w:rPr>
          <w:rFonts w:ascii="Times New Roman" w:hAnsi="Times New Roman"/>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Responsible Officer</w:t>
      </w:r>
      <w:r>
        <w:rPr>
          <w:rFonts w:ascii="Times New Roman" w:hAnsi="Times New Roman"/>
          <w:caps w:val="false"/>
          <w:smallCaps w:val="false"/>
          <w:sz w:val="20"/>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relating to this Indenture,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Securities</w:t>
      </w:r>
      <w:r>
        <w:rPr>
          <w:rFonts w:ascii="Times New Roman" w:hAnsi="Times New Roman"/>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Securities Act</w:t>
      </w:r>
      <w:r>
        <w:rPr>
          <w:rFonts w:ascii="Times New Roman" w:hAnsi="Times New Roman"/>
          <w:caps w:val="false"/>
          <w:smallCaps w:val="false"/>
          <w:sz w:val="20"/>
        </w:rPr>
        <w:t>” means the Securities Act of 1933, as amended, and the rules and regulations promulgated by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Securityholder</w:t>
      </w:r>
      <w:r>
        <w:rPr>
          <w:rFonts w:ascii="Times New Roman" w:hAnsi="Times New Roman"/>
          <w:caps w:val="false"/>
          <w:smallCaps w:val="false"/>
          <w:sz w:val="20"/>
        </w:rPr>
        <w:t>”, “</w:t>
      </w:r>
      <w:r>
        <w:rPr>
          <w:rFonts w:ascii="Times New Roman" w:hAnsi="Times New Roman"/>
          <w:b/>
          <w:i/>
          <w:caps w:val="false"/>
          <w:smallCaps w:val="false"/>
          <w:sz w:val="20"/>
        </w:rPr>
        <w:t>holder of Securities</w:t>
      </w:r>
      <w:r>
        <w:rPr>
          <w:rFonts w:ascii="Times New Roman" w:hAnsi="Times New Roman"/>
          <w:caps w:val="false"/>
          <w:smallCaps w:val="false"/>
          <w:sz w:val="20"/>
        </w:rPr>
        <w:t>”, “</w:t>
      </w:r>
      <w:r>
        <w:rPr>
          <w:rFonts w:ascii="Times New Roman" w:hAnsi="Times New Roman"/>
          <w:b/>
          <w:i/>
          <w:caps w:val="false"/>
          <w:smallCaps w:val="false"/>
          <w:sz w:val="20"/>
        </w:rPr>
        <w:t>registered holder</w:t>
      </w:r>
      <w:r>
        <w:rPr>
          <w:rFonts w:ascii="Times New Roman" w:hAnsi="Times New Roman"/>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Security Register</w:t>
      </w:r>
      <w:r>
        <w:rPr>
          <w:rFonts w:ascii="Times New Roman" w:hAnsi="Times New Roman"/>
          <w:caps w:val="false"/>
          <w:smallCaps w:val="false"/>
          <w:sz w:val="20"/>
        </w:rPr>
        <w:t>” and “</w:t>
      </w:r>
      <w:r>
        <w:rPr>
          <w:rFonts w:ascii="Times New Roman" w:hAnsi="Times New Roman"/>
          <w:b/>
          <w:i/>
          <w:caps w:val="false"/>
          <w:smallCaps w:val="false"/>
          <w:sz w:val="20"/>
        </w:rPr>
        <w:t>Security Registrar</w:t>
      </w:r>
      <w:r>
        <w:rPr>
          <w:rFonts w:ascii="Times New Roman" w:hAnsi="Times New Roman"/>
          <w:caps w:val="false"/>
          <w:smallCaps w:val="false"/>
          <w:sz w:val="20"/>
        </w:rPr>
        <w:t>” shall have the meanings as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Subsidiary</w:t>
      </w:r>
      <w:r>
        <w:rPr>
          <w:rFonts w:ascii="Times New Roman" w:hAnsi="Times New Roman"/>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Trustee</w:t>
      </w:r>
      <w:r>
        <w:rPr>
          <w:rFonts w:ascii="Times New Roman" w:hAnsi="Times New Roman"/>
          <w:caps w:val="false"/>
          <w:smallCaps w:val="false"/>
          <w:sz w:val="20"/>
        </w:rPr>
        <w:t>” has the meaning set forth in the Preamble,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Trust Indenture Act</w:t>
      </w:r>
      <w:r>
        <w:rPr>
          <w:rFonts w:ascii="Times New Roman" w:hAnsi="Times New Roman"/>
          <w:caps w:val="false"/>
          <w:smallCaps w:val="false"/>
          <w:sz w:val="20"/>
        </w:rPr>
        <w:t>” means the Trust Indenture Act of 1939, as amended, and the rules and regulations promulgated by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b/>
          <w:i/>
          <w:caps w:val="false"/>
          <w:smallCaps w:val="false"/>
          <w:sz w:val="20"/>
        </w:rPr>
        <w:t>U.S.A. Patriot Act</w:t>
      </w:r>
      <w:r>
        <w:rPr>
          <w:rFonts w:ascii="Times New Roman" w:hAnsi="Times New Roman"/>
          <w:caps w:val="false"/>
          <w:smallCaps w:val="false"/>
          <w:sz w:val="20"/>
        </w:rPr>
        <w:t>”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2</w:t>
      </w:r>
      <w:r>
        <w:rPr>
          <w:rFonts w:ascii="Times New Roman" w:hAnsi="Times New Roman"/>
          <w:caps w:val="false"/>
          <w:smallCaps w:val="false"/>
          <w:sz w:val="20"/>
        </w:rPr>
        <w:br/>
        <w:br/>
      </w:r>
      <w:r>
        <w:rPr>
          <w:rFonts w:ascii="Times New Roman" w:hAnsi="Times New Roman"/>
          <w:b/>
          <w:caps w:val="false"/>
          <w:smallCaps w:val="false"/>
          <w:sz w:val="20"/>
        </w:rPr>
        <w:t>ISSUE, DESCRIPTION, TERMS, EXECUTION, REGISTRATION AND</w:t>
      </w:r>
      <w:r>
        <w:rPr>
          <w:rFonts w:ascii="Times New Roman" w:hAnsi="Times New Roman"/>
          <w:caps w:val="false"/>
          <w:smallCaps w:val="false"/>
          <w:sz w:val="20"/>
        </w:rPr>
        <w:br/>
      </w:r>
      <w:r>
        <w:rPr>
          <w:rFonts w:ascii="Times New Roman" w:hAnsi="Times New Roman"/>
          <w:b/>
          <w:caps w:val="false"/>
          <w:smallCaps w:val="false"/>
          <w:sz w:val="20"/>
        </w:rPr>
        <w:t>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2.01</w:t>
      </w:r>
      <w:r>
        <w:rPr>
          <w:rFonts w:ascii="Times New Roman" w:hAnsi="Times New Roman"/>
          <w:caps w:val="false"/>
          <w:smallCaps w:val="false"/>
          <w:sz w:val="20"/>
        </w:rPr>
        <w:t> </w:t>
      </w:r>
      <w:r>
        <w:rPr>
          <w:rFonts w:ascii="Times New Roman" w:hAnsi="Times New Roman"/>
          <w:b/>
          <w:caps w:val="false"/>
          <w:smallCaps w:val="false"/>
          <w:sz w:val="20"/>
        </w:rPr>
        <w:t>Designation and Terms of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the title of the Securities of the series (which shall distinguish the Securities of that series from all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the maturity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the form of the Securities of the series including the form of the certificate of authentication for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the applicability of any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whether or not the Securities will be secured or unsecured, and the terms of any 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whether the Securities rank as senior debt, senior subordinated debt, subordinated debt or any combination thereof, and the terms of any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(10)</w:t>
      </w:r>
      <w:r>
        <w:rPr>
          <w:rFonts w:ascii="Times New Roman" w:hAnsi="Times New Roman"/>
          <w:caps w:val="false"/>
          <w:smallCaps w:val="false"/>
          <w:sz w:val="20"/>
        </w:rPr>
        <w:t> the Company’s right, if any, to defer the payment of interest and the maximum length of any such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the date or dates, if any, on which, and the price or prices at which the Company is obligated, pursuant to any mandatory sinking fund or analogous fund provisions or otherwise, to redeem, or at the option of the Securityholder or Securityholders to purchase, the series of Securities and the currency or currency unit in which the Securities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(13)</w:t>
      </w:r>
      <w:r>
        <w:rPr>
          <w:rFonts w:ascii="Times New Roman" w:hAnsi="Times New Roman"/>
          <w:caps w:val="false"/>
          <w:smallCaps w:val="false"/>
          <w:sz w:val="20"/>
        </w:rPr>
        <w:t> the denominations in which the Securities of the series shall be issuable, if other than denominations of one thousand U.S. dollars ($1,000) or any integral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(14)</w:t>
      </w:r>
      <w:r>
        <w:rPr>
          <w:rFonts w:ascii="Times New Roman" w:hAnsi="Times New Roman"/>
          <w:caps w:val="false"/>
          <w:smallCaps w:val="false"/>
          <w:sz w:val="20"/>
        </w:rPr>
        <w:t> 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(15)</w:t>
      </w:r>
      <w:r>
        <w:rPr>
          <w:rFonts w:ascii="Times New Roman" w:hAnsi="Times New Roman"/>
          <w:caps w:val="false"/>
          <w:smallCaps w:val="false"/>
          <w:sz w:val="20"/>
        </w:rPr>
        <w:t> 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(16)</w:t>
      </w:r>
      <w:r>
        <w:rPr>
          <w:rFonts w:ascii="Times New Roman" w:hAnsi="Times New Roman"/>
          <w:caps w:val="false"/>
          <w:smallCaps w:val="false"/>
          <w:sz w:val="20"/>
        </w:rPr>
        <w:t> 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(17)</w:t>
      </w:r>
      <w:r>
        <w:rPr>
          <w:rFonts w:ascii="Times New Roman" w:hAnsi="Times New Roman"/>
          <w:caps w:val="false"/>
          <w:smallCaps w:val="false"/>
          <w:sz w:val="20"/>
        </w:rPr>
        <w:t> if other than the full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(18)</w:t>
      </w:r>
      <w:r>
        <w:rPr>
          <w:rFonts w:ascii="Times New Roman" w:hAnsi="Times New Roman"/>
          <w:caps w:val="false"/>
          <w:smallCaps w:val="false"/>
          <w:sz w:val="20"/>
        </w:rPr>
        <w:t> additions to or changes in the covenants applicable to the series of Securities being issued, including, among others, the consolidation, merger or sale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(19)</w:t>
      </w:r>
      <w:r>
        <w:rPr>
          <w:rFonts w:ascii="Times New Roman" w:hAnsi="Times New Roman"/>
          <w:caps w:val="false"/>
          <w:smallCaps w:val="false"/>
          <w:sz w:val="20"/>
        </w:rPr>
        <w:t> 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(20)</w:t>
      </w:r>
      <w:r>
        <w:rPr>
          <w:rFonts w:ascii="Times New Roman" w:hAnsi="Times New Roman"/>
          <w:caps w:val="false"/>
          <w:smallCaps w:val="false"/>
          <w:sz w:val="20"/>
        </w:rPr>
        <w:t> additions to or changes in or deletions of the provisions relating to covenant defeasance and 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(21)</w:t>
      </w:r>
      <w:r>
        <w:rPr>
          <w:rFonts w:ascii="Times New Roman" w:hAnsi="Times New Roman"/>
          <w:caps w:val="false"/>
          <w:smallCaps w:val="false"/>
          <w:sz w:val="20"/>
        </w:rPr>
        <w:t> additions to or changes in the provisions relating to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(22)</w:t>
      </w:r>
      <w:r>
        <w:rPr>
          <w:rFonts w:ascii="Times New Roman" w:hAnsi="Times New Roman"/>
          <w:caps w:val="false"/>
          <w:smallCaps w:val="false"/>
          <w:sz w:val="20"/>
        </w:rPr>
        <w:t> additions to or changes in the provisions relating to the modification of this Indenture both with and without the consent of Securityholders of Securities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(23)</w:t>
      </w:r>
      <w:r>
        <w:rPr>
          <w:rFonts w:ascii="Times New Roman" w:hAnsi="Times New Roman"/>
          <w:caps w:val="false"/>
          <w:smallCaps w:val="false"/>
          <w:sz w:val="20"/>
        </w:rPr>
        <w:t> the currency of payment of Securities if other than U.S. dollars and the manner of determining the equivalent amount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(24)</w:t>
      </w:r>
      <w:r>
        <w:rPr>
          <w:rFonts w:ascii="Times New Roman" w:hAnsi="Times New Roman"/>
          <w:caps w:val="false"/>
          <w:smallCaps w:val="false"/>
          <w:sz w:val="20"/>
        </w:rPr>
        <w:t> whether interest will be payable in cash or additional Securities at the option of the Company or Securityholder or Securityholders, as the case may be, and the terms and conditions upon which the election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(25)</w:t>
      </w:r>
      <w:r>
        <w:rPr>
          <w:rFonts w:ascii="Times New Roman" w:hAnsi="Times New Roman"/>
          <w:caps w:val="false"/>
          <w:smallCaps w:val="false"/>
          <w:sz w:val="20"/>
        </w:rPr>
        <w:t> 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(26)</w:t>
      </w:r>
      <w:r>
        <w:rPr>
          <w:rFonts w:ascii="Times New Roman" w:hAnsi="Times New Roman"/>
          <w:caps w:val="false"/>
          <w:smallCaps w:val="false"/>
          <w:sz w:val="20"/>
        </w:rPr>
        <w:t> any restrictions on transfer, sale or assignment of the Securities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(27)</w:t>
      </w:r>
      <w:r>
        <w:rPr>
          <w:rFonts w:ascii="Times New Roman" w:hAnsi="Times New Roman"/>
          <w:caps w:val="false"/>
          <w:smallCaps w:val="false"/>
          <w:sz w:val="20"/>
        </w:rPr>
        <w:t> 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of the terms of the series are established by action taken pursuant to a Board Resolution of the Company, a copy of an appropriate record of such action shall be certified by an Officer of the Company and delivered to the Trustee at or prior to the delivery of the Officer’s Certificate of the Company setting forth the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2.02</w:t>
      </w:r>
      <w:r>
        <w:rPr>
          <w:rFonts w:ascii="Times New Roman" w:hAnsi="Times New Roman"/>
          <w:caps w:val="false"/>
          <w:smallCaps w:val="false"/>
          <w:sz w:val="20"/>
        </w:rPr>
        <w:t> </w:t>
      </w:r>
      <w:r>
        <w:rPr>
          <w:rFonts w:ascii="Times New Roman" w:hAnsi="Times New Roman"/>
          <w:b/>
          <w:caps w:val="false"/>
          <w:smallCaps w:val="false"/>
          <w:sz w:val="20"/>
        </w:rPr>
        <w:t>Form of Securities and Trustee</w:t>
      </w:r>
      <w:r>
        <w:rPr>
          <w:rFonts w:ascii="Times New Roman" w:hAnsi="Times New Roman"/>
          <w:caps w:val="false"/>
          <w:smallCaps w:val="false"/>
          <w:sz w:val="20"/>
        </w:rPr>
        <w:t>’</w:t>
      </w:r>
      <w:r>
        <w:rPr>
          <w:rFonts w:ascii="Times New Roman" w:hAnsi="Times New Roman"/>
          <w:b/>
          <w:caps w:val="false"/>
          <w:smallCaps w:val="false"/>
          <w:sz w:val="20"/>
        </w:rPr>
        <w:t>s Certificate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2.03</w:t>
      </w:r>
      <w:r>
        <w:rPr>
          <w:rFonts w:ascii="Times New Roman" w:hAnsi="Times New Roman"/>
          <w:caps w:val="false"/>
          <w:smallCaps w:val="false"/>
          <w:sz w:val="20"/>
        </w:rPr>
        <w:t> </w:t>
      </w:r>
      <w:r>
        <w:rPr>
          <w:rFonts w:ascii="Times New Roman" w:hAnsi="Times New Roman"/>
          <w:b/>
          <w:caps w:val="false"/>
          <w:smallCaps w:val="false"/>
          <w:sz w:val="20"/>
        </w:rPr>
        <w:t>Denominations: Provisions for Payment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Except as otherwise stated in an Officer’s Certificate or supplemental indenture with respect to the Securities of a series, interest on the Securities shall be computed on the basis of a 360-day year composed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interest on any Security that is payable, but is not punctually paid or duly provided for, on any Interest Payment Date for Securities of the same series (herein called “</w:t>
      </w:r>
      <w:r>
        <w:rPr>
          <w:rFonts w:ascii="Times New Roman" w:hAnsi="Times New Roman"/>
          <w:b/>
          <w:i/>
          <w:caps w:val="false"/>
          <w:smallCaps w:val="false"/>
          <w:sz w:val="20"/>
        </w:rPr>
        <w:t>Defaulted Interest</w:t>
      </w:r>
      <w:r>
        <w:rPr>
          <w:rFonts w:ascii="Times New Roman" w:hAnsi="Times New Roman"/>
          <w:caps w:val="false"/>
          <w:smallCaps w:val="false"/>
          <w:sz w:val="20"/>
        </w:rPr>
        <w: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2.04 Execution and Authentications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Securities shall be signed on behalf of the Company by one of its Officers. Signatures may be in the form of a manual, electronic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may use the manual, electronic or facsimile signature of any Person who shall have been an Officer (at the time of execution),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Security shall not be valid until authenticated manually, electronically or by facsimile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Trustee shall not be required to authenticate such Securities if the issue of such Securities pursuant to this Indenture will affect the Trustee’s own rights, duties, benefits, privileges, protections, indemnities or immunities under the Securities and this Indenture or otherwise in a manner that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2.05</w:t>
      </w:r>
      <w:r>
        <w:rPr>
          <w:rFonts w:ascii="Times New Roman" w:hAnsi="Times New Roman"/>
          <w:caps w:val="false"/>
          <w:smallCaps w:val="false"/>
          <w:sz w:val="20"/>
        </w:rPr>
        <w:t> </w:t>
      </w:r>
      <w:r>
        <w:rPr>
          <w:rFonts w:ascii="Times New Roman" w:hAnsi="Times New Roman"/>
          <w:b/>
          <w:caps w:val="false"/>
          <w:smallCaps w:val="false"/>
          <w:sz w:val="20"/>
        </w:rPr>
        <w:t>Registration of Transfer and Exchange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Company shall keep, or cause to be kept, at its office or agency designated for such purpose a register or registers (herein referred to as the “</w:t>
      </w:r>
      <w:r>
        <w:rPr>
          <w:rFonts w:ascii="Times New Roman" w:hAnsi="Times New Roman"/>
          <w:b/>
          <w:i/>
          <w:caps w:val="false"/>
          <w:smallCaps w:val="false"/>
          <w:sz w:val="20"/>
        </w:rPr>
        <w:t>Security Register</w:t>
      </w:r>
      <w:r>
        <w:rPr>
          <w:rFonts w:ascii="Times New Roman" w:hAnsi="Times New Roman"/>
          <w:caps w:val="false"/>
          <w:smallCaps w:val="false"/>
          <w:sz w:val="20"/>
        </w:rPr>
        <w:t>”) in which, subject to such reasonable regulations as it may prescribe, the Security Registrar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w:t>
      </w:r>
      <w:r>
        <w:rPr>
          <w:rFonts w:ascii="Times New Roman" w:hAnsi="Times New Roman"/>
          <w:b/>
          <w:i/>
          <w:caps w:val="false"/>
          <w:smallCaps w:val="false"/>
          <w:sz w:val="20"/>
        </w:rPr>
        <w:t>Security Registrar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initially appoints the Trustee as Security Registrar for each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2.06</w:t>
      </w:r>
      <w:r>
        <w:rPr>
          <w:rFonts w:ascii="Times New Roman" w:hAnsi="Times New Roman"/>
          <w:caps w:val="false"/>
          <w:smallCaps w:val="false"/>
          <w:sz w:val="20"/>
        </w:rPr>
        <w:t> </w:t>
      </w:r>
      <w:r>
        <w:rPr>
          <w:rFonts w:ascii="Times New Roman" w:hAnsi="Times New Roman"/>
          <w:b/>
          <w:caps w:val="false"/>
          <w:smallCaps w:val="false"/>
          <w:sz w:val="20"/>
        </w:rPr>
        <w:t>Temporary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2.07</w:t>
      </w:r>
      <w:r>
        <w:rPr>
          <w:rFonts w:ascii="Times New Roman" w:hAnsi="Times New Roman"/>
          <w:caps w:val="false"/>
          <w:smallCaps w:val="false"/>
          <w:sz w:val="20"/>
        </w:rPr>
        <w:t> </w:t>
      </w:r>
      <w:r>
        <w:rPr>
          <w:rFonts w:ascii="Times New Roman" w:hAnsi="Times New Roman"/>
          <w:b/>
          <w:caps w:val="false"/>
          <w:smallCaps w:val="false"/>
          <w:sz w:val="20"/>
        </w:rPr>
        <w:t>Mutilated, Destroyed, Lost or Stolen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2.08</w:t>
      </w:r>
      <w:r>
        <w:rPr>
          <w:rFonts w:ascii="Times New Roman" w:hAnsi="Times New Roman"/>
          <w:caps w:val="false"/>
          <w:smallCaps w:val="false"/>
          <w:sz w:val="20"/>
        </w:rPr>
        <w:t> </w:t>
      </w:r>
      <w:r>
        <w:rPr>
          <w:rFonts w:ascii="Times New Roman" w:hAnsi="Times New Roman"/>
          <w:b/>
          <w:caps w:val="false"/>
          <w:smallCaps w:val="false"/>
          <w:sz w:val="20"/>
        </w:rPr>
        <w:t>Cancellation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Securities surrendered for the purpose of payment, redemption, repurchase, exchange,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2.09</w:t>
      </w:r>
      <w:r>
        <w:rPr>
          <w:rFonts w:ascii="Times New Roman" w:hAnsi="Times New Roman"/>
          <w:caps w:val="false"/>
          <w:smallCaps w:val="false"/>
          <w:sz w:val="20"/>
        </w:rPr>
        <w:t> </w:t>
      </w:r>
      <w:r>
        <w:rPr>
          <w:rFonts w:ascii="Times New Roman" w:hAnsi="Times New Roman"/>
          <w:b/>
          <w:caps w:val="false"/>
          <w:smallCaps w:val="false"/>
          <w:sz w:val="20"/>
        </w:rPr>
        <w:t>Benefits of Indenture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2.10</w:t>
      </w:r>
      <w:r>
        <w:rPr>
          <w:rFonts w:ascii="Times New Roman" w:hAnsi="Times New Roman"/>
          <w:caps w:val="false"/>
          <w:smallCaps w:val="false"/>
          <w:sz w:val="20"/>
        </w:rPr>
        <w:t> </w:t>
      </w:r>
      <w:r>
        <w:rPr>
          <w:rFonts w:ascii="Times New Roman" w:hAnsi="Times New Roman"/>
          <w:b/>
          <w:caps w:val="false"/>
          <w:smallCaps w:val="false"/>
          <w:sz w:val="20"/>
        </w:rPr>
        <w:t>Authenticating Agent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or other Person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2.11</w:t>
      </w:r>
      <w:r>
        <w:rPr>
          <w:rFonts w:ascii="Times New Roman" w:hAnsi="Times New Roman"/>
          <w:caps w:val="false"/>
          <w:smallCaps w:val="false"/>
          <w:sz w:val="20"/>
        </w:rPr>
        <w:t> </w:t>
      </w:r>
      <w:r>
        <w:rPr>
          <w:rFonts w:ascii="Times New Roman" w:hAnsi="Times New Roman"/>
          <w:b/>
          <w:caps w:val="false"/>
          <w:smallCaps w:val="false"/>
          <w:sz w:val="20"/>
        </w:rPr>
        <w:t>Global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Except as otherwise provided in Section 2.11 of this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xml:space="preserve"> Neither the Trustee nor the Security Registrar nor any paying agent will have any responsibility for any action taken or not taken by the Depositary. Neither the Trustee, nor the Security Registrar nor any paying agent will have any responsibility or obligation to any beneficial owner of a Global Security or a depositary participant or other Person with respect to the accuracy of the records of the Depositary or its nominee or of any participant or member thereof with respect to any ownership interest in the Securities or with respect to the delivery to any participant, member, beneficial owner or other Person (other than the Depositary) of any notice (including any notice of redemption) or the payment of any amount, under or with respect to such Securities. The rights of beneficial owners in any Global Securities will be exercised only through the Depositary subject to the applicable procedures of the Depositary. The Trustee, the Security Registrar and any paying agent may rely and shall be fully protected in relying upon information furnished by the Depositary with respect to its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2.12</w:t>
      </w:r>
      <w:r>
        <w:rPr>
          <w:rFonts w:ascii="Times New Roman" w:hAnsi="Times New Roman"/>
          <w:caps w:val="false"/>
          <w:smallCaps w:val="false"/>
          <w:sz w:val="20"/>
        </w:rPr>
        <w:t> </w:t>
      </w:r>
      <w:r>
        <w:rPr>
          <w:rFonts w:ascii="Times New Roman" w:hAnsi="Times New Roman"/>
          <w:b/>
          <w:caps w:val="false"/>
          <w:smallCaps w:val="false"/>
          <w:sz w:val="20"/>
        </w:rPr>
        <w:t>CUSIP Numbers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REDEMPTION OF SECURITIES AND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3.01</w:t>
      </w:r>
      <w:r>
        <w:rPr>
          <w:rFonts w:ascii="Times New Roman" w:hAnsi="Times New Roman"/>
          <w:caps w:val="false"/>
          <w:smallCaps w:val="false"/>
          <w:sz w:val="20"/>
        </w:rPr>
        <w:t> </w:t>
      </w:r>
      <w:r>
        <w:rPr>
          <w:rFonts w:ascii="Times New Roman" w:hAnsi="Times New Roman"/>
          <w:b/>
          <w:caps w:val="false"/>
          <w:smallCaps w:val="false"/>
          <w:sz w:val="20"/>
        </w:rPr>
        <w:t>Redemption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3.02</w:t>
      </w:r>
      <w:r>
        <w:rPr>
          <w:rFonts w:ascii="Times New Roman" w:hAnsi="Times New Roman"/>
          <w:caps w:val="false"/>
          <w:smallCaps w:val="false"/>
          <w:sz w:val="20"/>
        </w:rPr>
        <w:t> </w:t>
      </w:r>
      <w:r>
        <w:rPr>
          <w:rFonts w:ascii="Times New Roman" w:hAnsi="Times New Roman"/>
          <w:b/>
          <w:caps w:val="false"/>
          <w:smallCaps w:val="false"/>
          <w:sz w:val="20"/>
        </w:rPr>
        <w:t>Notice of Redemption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upon written request in the form of an Officer’s Certificate setting forth the information to be stated in such notice and the form of such notice delivered to the Trustee by the Company prior to the notice date and at the sole cost and expense of the Company, to give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10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Unless otherwise provided in a Board Resolution, Officer’s Certificate or supplemental indenture, notice of any redemption of Notes may, at the Company’s discretion, be subject to one or more conditions precedent. If such redemption is subject to satisfaction of one or more conditions precedent, the Company’s notice of redemption shall describe each such condition and, if applicable, shall state that, in the Company’s discretion, the date fixed for redemption may be delayed until such time as any or all of such conditions shall be satisfied (or waived by the Company in its sole discretion), or such redemption may not occur and such notice may be rescinded in the event that any or all such conditions shall not have been satisfied (or waived by the Company in its sole discretion) by the Redemption Date as stated in such notice, or by the date fixed for redemption as so delayed (even if such conditions are not satisfied more than 90 days after the mailing of such notice of redemption). Any request that the Trustee mail the Company’s notice of redemption may be similarly conditioned. The Company may provide in its redemption notice that payment of the redemption price and performance of the Company’s obligations with respect to such redemption may be performed by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If less than all the Securities of a series are to be redeemed, the Company shall give the Trustee at least 15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(subject, in the case of Global Securities, to the applicable rules and procedures of the Depositary)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3.03</w:t>
      </w:r>
      <w:r>
        <w:rPr>
          <w:rFonts w:ascii="Times New Roman" w:hAnsi="Times New Roman"/>
          <w:caps w:val="false"/>
          <w:smallCaps w:val="false"/>
          <w:sz w:val="20"/>
        </w:rPr>
        <w:t> </w:t>
      </w:r>
      <w:r>
        <w:rPr>
          <w:rFonts w:ascii="Times New Roman" w:hAnsi="Times New Roman"/>
          <w:b/>
          <w:caps w:val="false"/>
          <w:smallCaps w:val="false"/>
          <w:sz w:val="20"/>
        </w:rPr>
        <w:t>Payment Upon Redemption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3.04</w:t>
      </w:r>
      <w:r>
        <w:rPr>
          <w:rFonts w:ascii="Times New Roman" w:hAnsi="Times New Roman"/>
          <w:caps w:val="false"/>
          <w:smallCaps w:val="false"/>
          <w:sz w:val="20"/>
        </w:rPr>
        <w:t> </w:t>
      </w:r>
      <w:r>
        <w:rPr>
          <w:rFonts w:ascii="Times New Roman" w:hAnsi="Times New Roman"/>
          <w:b/>
          <w:caps w:val="false"/>
          <w:smallCaps w:val="false"/>
          <w:sz w:val="20"/>
        </w:rPr>
        <w:t>Sinking Fund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3.05</w:t>
      </w:r>
      <w:r>
        <w:rPr>
          <w:rFonts w:ascii="Times New Roman" w:hAnsi="Times New Roman"/>
          <w:caps w:val="false"/>
          <w:smallCaps w:val="false"/>
          <w:sz w:val="20"/>
        </w:rPr>
        <w:t> </w:t>
      </w:r>
      <w:r>
        <w:rPr>
          <w:rFonts w:ascii="Times New Roman" w:hAnsi="Times New Roman"/>
          <w:b/>
          <w:caps w:val="false"/>
          <w:smallCaps w:val="false"/>
          <w:sz w:val="20"/>
        </w:rPr>
        <w:t>Satisfaction of Sinking Fund Payments with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3.06</w:t>
      </w:r>
      <w:r>
        <w:rPr>
          <w:rFonts w:ascii="Times New Roman" w:hAnsi="Times New Roman"/>
          <w:caps w:val="false"/>
          <w:smallCaps w:val="false"/>
          <w:sz w:val="20"/>
        </w:rPr>
        <w:t> </w:t>
      </w:r>
      <w:r>
        <w:rPr>
          <w:rFonts w:ascii="Times New Roman" w:hAnsi="Times New Roman"/>
          <w:b/>
          <w:caps w:val="false"/>
          <w:smallCaps w:val="false"/>
          <w:sz w:val="20"/>
        </w:rPr>
        <w:t>Redemption of Securities for Sinking Fund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10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4.01</w:t>
      </w:r>
      <w:r>
        <w:rPr>
          <w:rFonts w:ascii="Times New Roman" w:hAnsi="Times New Roman"/>
          <w:caps w:val="false"/>
          <w:smallCaps w:val="false"/>
          <w:sz w:val="20"/>
        </w:rPr>
        <w:t> </w:t>
      </w:r>
      <w:r>
        <w:rPr>
          <w:rFonts w:ascii="Times New Roman" w:hAnsi="Times New Roman"/>
          <w:b/>
          <w:caps w:val="false"/>
          <w:smallCaps w:val="false"/>
          <w:sz w:val="20"/>
        </w:rPr>
        <w:t>Payment of Principal, Premium and Interest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4.02</w:t>
      </w:r>
      <w:r>
        <w:rPr>
          <w:rFonts w:ascii="Times New Roman" w:hAnsi="Times New Roman"/>
          <w:caps w:val="false"/>
          <w:smallCaps w:val="false"/>
          <w:sz w:val="20"/>
        </w:rPr>
        <w:t> </w:t>
      </w:r>
      <w:r>
        <w:rPr>
          <w:rFonts w:ascii="Times New Roman" w:hAnsi="Times New Roman"/>
          <w:b/>
          <w:caps w:val="false"/>
          <w:smallCaps w:val="false"/>
          <w:sz w:val="20"/>
        </w:rPr>
        <w:t>Maintenance of Office or Agency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other than service of legal process on the Company,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4.03</w:t>
      </w:r>
      <w:r>
        <w:rPr>
          <w:rFonts w:ascii="Times New Roman" w:hAnsi="Times New Roman"/>
          <w:caps w:val="false"/>
          <w:smallCaps w:val="false"/>
          <w:sz w:val="20"/>
        </w:rPr>
        <w:t> </w:t>
      </w:r>
      <w:r>
        <w:rPr>
          <w:rFonts w:ascii="Times New Roman" w:hAnsi="Times New Roman"/>
          <w:b/>
          <w:caps w:val="false"/>
          <w:smallCaps w:val="false"/>
          <w:sz w:val="20"/>
        </w:rPr>
        <w:t>Paying Agents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that it will perform all other duties of paying agent as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4.04</w:t>
      </w:r>
      <w:r>
        <w:rPr>
          <w:rFonts w:ascii="Times New Roman" w:hAnsi="Times New Roman"/>
          <w:caps w:val="false"/>
          <w:smallCaps w:val="false"/>
          <w:sz w:val="20"/>
        </w:rPr>
        <w:t> </w:t>
      </w:r>
      <w:r>
        <w:rPr>
          <w:rFonts w:ascii="Times New Roman" w:hAnsi="Times New Roman"/>
          <w:b/>
          <w:caps w:val="false"/>
          <w:smallCaps w:val="false"/>
          <w:sz w:val="20"/>
        </w:rPr>
        <w:t>Appointment to Fill Vacancy in Office of 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SECURITYHOLDERS LISTS AND REPORTS BY THE COMPANY AND</w:t>
      </w:r>
      <w:r>
        <w:rPr>
          <w:rFonts w:ascii="Times New Roman" w:hAnsi="Times New Roman"/>
          <w:caps w:val="false"/>
          <w:smallCaps w:val="false"/>
          <w:sz w:val="20"/>
        </w:rPr>
        <w:br/>
      </w:r>
      <w:r>
        <w:rPr>
          <w:rFonts w:ascii="Times New Roman" w:hAnsi="Times New Roman"/>
          <w:b/>
          <w:caps w:val="false"/>
          <w:smallCaps w:val="false"/>
          <w:sz w:val="20"/>
        </w:rPr>
        <w:t>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5.01</w:t>
      </w:r>
      <w:r>
        <w:rPr>
          <w:rFonts w:ascii="Times New Roman" w:hAnsi="Times New Roman"/>
          <w:caps w:val="false"/>
          <w:smallCaps w:val="false"/>
          <w:sz w:val="20"/>
        </w:rPr>
        <w:t> </w:t>
      </w:r>
      <w:r>
        <w:rPr>
          <w:rFonts w:ascii="Times New Roman" w:hAnsi="Times New Roman"/>
          <w:b/>
          <w:caps w:val="false"/>
          <w:smallCaps w:val="false"/>
          <w:sz w:val="20"/>
        </w:rPr>
        <w:t>Company to Furnish Trustee Names and Addresses of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5.02</w:t>
      </w:r>
      <w:r>
        <w:rPr>
          <w:rFonts w:ascii="Times New Roman" w:hAnsi="Times New Roman"/>
          <w:caps w:val="false"/>
          <w:smallCaps w:val="false"/>
          <w:sz w:val="20"/>
        </w:rPr>
        <w:t> </w:t>
      </w:r>
      <w:r>
        <w:rPr>
          <w:rFonts w:ascii="Times New Roman" w:hAnsi="Times New Roman"/>
          <w:b/>
          <w:caps w:val="false"/>
          <w:smallCaps w:val="false"/>
          <w:sz w:val="20"/>
        </w:rPr>
        <w:t>Preservation Of Information; Communications With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Trustee may destroy any list furnished to it as provided in Section 5.01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5.03</w:t>
      </w:r>
      <w:r>
        <w:rPr>
          <w:rFonts w:ascii="Times New Roman" w:hAnsi="Times New Roman"/>
          <w:caps w:val="false"/>
          <w:smallCaps w:val="false"/>
          <w:sz w:val="20"/>
        </w:rPr>
        <w:t> </w:t>
      </w:r>
      <w:r>
        <w:rPr>
          <w:rFonts w:ascii="Times New Roman" w:hAnsi="Times New Roman"/>
          <w:b/>
          <w:caps w:val="false"/>
          <w:smallCaps w:val="false"/>
          <w:sz w:val="20"/>
        </w:rPr>
        <w:t>Reports by 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Delivery of reports, information and documents to the Trustee under Section 5.03 is for informational purposes only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provisions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5.04</w:t>
      </w:r>
      <w:r>
        <w:rPr>
          <w:rFonts w:ascii="Times New Roman" w:hAnsi="Times New Roman"/>
          <w:caps w:val="false"/>
          <w:smallCaps w:val="false"/>
          <w:sz w:val="20"/>
        </w:rPr>
        <w:t> </w:t>
      </w:r>
      <w:r>
        <w:rPr>
          <w:rFonts w:ascii="Times New Roman" w:hAnsi="Times New Roman"/>
          <w:b/>
          <w:caps w:val="false"/>
          <w:smallCaps w:val="false"/>
          <w:sz w:val="20"/>
        </w:rPr>
        <w:t>Reports by the 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Trustee shall comply with Section 313(b) and 313(c)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6</w:t>
      </w:r>
      <w:r>
        <w:rPr>
          <w:rFonts w:ascii="Times New Roman" w:hAnsi="Times New Roman"/>
          <w:caps w:val="false"/>
          <w:smallCaps w:val="false"/>
          <w:sz w:val="20"/>
        </w:rPr>
        <w:br/>
        <w:br/>
      </w:r>
      <w:r>
        <w:rPr>
          <w:rFonts w:ascii="Times New Roman" w:hAnsi="Times New Roman"/>
          <w:b/>
          <w:caps w:val="false"/>
          <w:smallCaps w:val="false"/>
          <w:sz w:val="20"/>
        </w:rPr>
        <w:t>REMEDIES OF THE TRUSTEE AND SECURITYHOLDERS 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6.01</w:t>
      </w:r>
      <w:r>
        <w:rPr>
          <w:rFonts w:ascii="Times New Roman" w:hAnsi="Times New Roman"/>
          <w:caps w:val="false"/>
          <w:smallCaps w:val="false"/>
          <w:sz w:val="20"/>
        </w:rPr>
        <w:t> </w:t>
      </w:r>
      <w:r>
        <w:rPr>
          <w:rFonts w:ascii="Times New Roman" w:hAnsi="Times New Roman"/>
          <w:b/>
          <w:caps w:val="false"/>
          <w:smallCaps w:val="false"/>
          <w:sz w:val="20"/>
        </w:rPr>
        <w:t>Events of Default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Whenever used herein with respect to Securities of a particular series, “</w:t>
      </w:r>
      <w:r>
        <w:rPr>
          <w:rFonts w:ascii="Times New Roman" w:hAnsi="Times New Roman"/>
          <w:b/>
          <w:i/>
          <w:caps w:val="false"/>
          <w:smallCaps w:val="false"/>
          <w:sz w:val="20"/>
        </w:rPr>
        <w:t>Event of Default</w:t>
      </w:r>
      <w:r>
        <w:rPr>
          <w:rFonts w:ascii="Times New Roman" w:hAnsi="Times New Roman"/>
          <w:caps w:val="false"/>
          <w:smallCaps w:val="false"/>
          <w:sz w:val="20"/>
        </w:rPr>
        <w:t>” means any one or more of the following events that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w:t>
      </w:r>
      <w:r>
        <w:rPr>
          <w:rFonts w:ascii="Times New Roman" w:hAnsi="Times New Roman"/>
          <w:b/>
          <w:i/>
          <w:caps w:val="false"/>
          <w:smallCaps w:val="false"/>
          <w:sz w:val="20"/>
        </w:rPr>
        <w:t>Notice of Default</w:t>
      </w:r>
      <w:r>
        <w:rPr>
          <w:rFonts w:ascii="Times New Roman" w:hAnsi="Times New Roman"/>
          <w:caps w:val="false"/>
          <w:smallCaps w:val="false"/>
          <w:sz w:val="20"/>
        </w:rPr>
        <w: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this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 such rescission and annulment shall extend to or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6.02</w:t>
      </w:r>
      <w:r>
        <w:rPr>
          <w:rFonts w:ascii="Times New Roman" w:hAnsi="Times New Roman"/>
          <w:caps w:val="false"/>
          <w:smallCaps w:val="false"/>
          <w:sz w:val="20"/>
        </w:rPr>
        <w:t> </w:t>
      </w:r>
      <w:r>
        <w:rPr>
          <w:rFonts w:ascii="Times New Roman" w:hAnsi="Times New Roman"/>
          <w:b/>
          <w:caps w:val="false"/>
          <w:smallCaps w:val="false"/>
          <w:sz w:val="20"/>
        </w:rPr>
        <w:t>Collection of Indebtedness and Suits for Enforcement by 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 and to the extent that such payment of reasonable compensation, expenses, disbursements and advances in any such proceedings shall be denied for any reason, payment of the same shall be secured by a lien on, and shall be paid out of, any and all distributions, dividends, money, securities and other property which the Securityholders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6.03</w:t>
      </w:r>
      <w:r>
        <w:rPr>
          <w:rFonts w:ascii="Times New Roman" w:hAnsi="Times New Roman"/>
          <w:caps w:val="false"/>
          <w:smallCaps w:val="false"/>
          <w:sz w:val="20"/>
        </w:rPr>
        <w:t> </w:t>
      </w:r>
      <w:r>
        <w:rPr>
          <w:rFonts w:ascii="Times New Roman" w:hAnsi="Times New Roman"/>
          <w:b/>
          <w:caps w:val="false"/>
          <w:smallCaps w:val="false"/>
          <w:sz w:val="20"/>
        </w:rPr>
        <w:t>Application of Moneys Collected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FIRST: To the payment of costs and expenses of collection and of all amounts payable to the Trustee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THIRD: To the payment of the remainder, if any, to the Company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6.04</w:t>
      </w:r>
      <w:r>
        <w:rPr>
          <w:rFonts w:ascii="Times New Roman" w:hAnsi="Times New Roman"/>
          <w:caps w:val="false"/>
          <w:smallCaps w:val="false"/>
          <w:sz w:val="20"/>
        </w:rPr>
        <w:t> </w:t>
      </w:r>
      <w:r>
        <w:rPr>
          <w:rFonts w:ascii="Times New Roman" w:hAnsi="Times New Roman"/>
          <w:b/>
          <w:caps w:val="false"/>
          <w:smallCaps w:val="false"/>
          <w:sz w:val="20"/>
        </w:rPr>
        <w:t>Limitation on Suits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6.05</w:t>
      </w:r>
      <w:r>
        <w:rPr>
          <w:rFonts w:ascii="Times New Roman" w:hAnsi="Times New Roman"/>
          <w:caps w:val="false"/>
          <w:smallCaps w:val="false"/>
          <w:sz w:val="20"/>
        </w:rPr>
        <w:t> </w:t>
      </w:r>
      <w:r>
        <w:rPr>
          <w:rFonts w:ascii="Times New Roman" w:hAnsi="Times New Roman"/>
          <w:b/>
          <w:caps w:val="false"/>
          <w:smallCaps w:val="false"/>
          <w:sz w:val="20"/>
        </w:rPr>
        <w:t>Rights and Remedies Cumulative; Delay or Omission Not Waiver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6.06</w:t>
      </w:r>
      <w:r>
        <w:rPr>
          <w:rFonts w:ascii="Times New Roman" w:hAnsi="Times New Roman"/>
          <w:caps w:val="false"/>
          <w:smallCaps w:val="false"/>
          <w:sz w:val="20"/>
        </w:rPr>
        <w:t> </w:t>
      </w:r>
      <w:r>
        <w:rPr>
          <w:rFonts w:ascii="Times New Roman" w:hAnsi="Times New Roman"/>
          <w:b/>
          <w:caps w:val="false"/>
          <w:smallCaps w:val="false"/>
          <w:sz w:val="20"/>
        </w:rPr>
        <w:t>Control by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6.07</w:t>
      </w:r>
      <w:r>
        <w:rPr>
          <w:rFonts w:ascii="Times New Roman" w:hAnsi="Times New Roman"/>
          <w:caps w:val="false"/>
          <w:smallCaps w:val="false"/>
          <w:sz w:val="20"/>
        </w:rPr>
        <w:t> </w:t>
      </w:r>
      <w:r>
        <w:rPr>
          <w:rFonts w:ascii="Times New Roman" w:hAnsi="Times New Roman"/>
          <w:b/>
          <w:caps w:val="false"/>
          <w:smallCaps w:val="false"/>
          <w:sz w:val="20"/>
        </w:rPr>
        <w:t>Undertaking to Pay Costs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7</w:t>
      </w:r>
      <w:r>
        <w:rPr>
          <w:rFonts w:ascii="Times New Roman" w:hAnsi="Times New Roman"/>
          <w:caps w:val="false"/>
          <w:smallCaps w:val="false"/>
          <w:sz w:val="20"/>
        </w:rPr>
        <w:br/>
        <w:br/>
      </w:r>
      <w:r>
        <w:rPr>
          <w:rFonts w:ascii="Times New Roman" w:hAnsi="Times New Roman"/>
          <w:b/>
          <w:caps w:val="false"/>
          <w:smallCaps w:val="false"/>
          <w:sz w:val="20"/>
        </w:rP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7.01</w:t>
      </w:r>
      <w:r>
        <w:rPr>
          <w:rFonts w:ascii="Times New Roman" w:hAnsi="Times New Roman"/>
          <w:caps w:val="false"/>
          <w:smallCaps w:val="false"/>
          <w:sz w:val="20"/>
        </w:rPr>
        <w:t> </w:t>
      </w:r>
      <w:r>
        <w:rPr>
          <w:rFonts w:ascii="Times New Roman" w:hAnsi="Times New Roman"/>
          <w:b/>
          <w:caps w:val="false"/>
          <w:smallCaps w:val="false"/>
          <w:sz w:val="20"/>
        </w:rPr>
        <w:t>Certain Duties and Responsibilities of 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(iv)</w:t>
      </w:r>
      <w:r>
        <w:rPr>
          <w:rFonts w:ascii="Times New Roman" w:hAnsi="Times New Roman"/>
          <w:caps w:val="false"/>
          <w:smallCaps w:val="false"/>
          <w:sz w:val="20"/>
        </w:rPr>
        <w:t> The Trustee shall not be required to give any bond or surety in respect of the performance of its powers or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(v)</w:t>
      </w:r>
      <w:r>
        <w:rPr>
          <w:rFonts w:ascii="Times New Roman" w:hAnsi="Times New Roman"/>
          <w:caps w:val="false"/>
          <w:smallCaps w:val="false"/>
          <w:sz w:val="20"/>
        </w:rPr>
        <w:t> The permissive right of the Trustee to do things enumerated in this Indenture shall not be construed as a duty of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(vi)</w:t>
      </w:r>
      <w:r>
        <w:rPr>
          <w:rFonts w:ascii="Times New Roman" w:hAnsi="Times New Roman"/>
          <w:caps w:val="false"/>
          <w:smallCaps w:val="false"/>
          <w:sz w:val="20"/>
        </w:rPr>
        <w:t> No Trustee shall have any duty or responsibility for any act or omission of any other Trustee appointed with respect to a series of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7.02</w:t>
      </w:r>
      <w:r>
        <w:rPr>
          <w:rFonts w:ascii="Times New Roman" w:hAnsi="Times New Roman"/>
          <w:caps w:val="false"/>
          <w:smallCaps w:val="false"/>
          <w:sz w:val="20"/>
        </w:rPr>
        <w:t> </w:t>
      </w:r>
      <w:r>
        <w:rPr>
          <w:rFonts w:ascii="Times New Roman" w:hAnsi="Times New Roman"/>
          <w:b/>
          <w:caps w:val="false"/>
          <w:smallCaps w:val="false"/>
          <w:sz w:val="20"/>
        </w:rPr>
        <w:t>Certain Rights of Trustee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Before the Trustee acts or refrains from acting, it may require and may conclusively rely on an Officer’s Certificate or an Opinion of Counsel, or both, which shall conform to the provisions of Section 13.07. The Trustee shall be protected and shall not be liable for any action it takes or omits to take in good faith in reliance on such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(j)</w:t>
      </w:r>
      <w:r>
        <w:rPr>
          <w:rFonts w:ascii="Times New Roman" w:hAnsi="Times New Roman"/>
          <w:caps w:val="false"/>
          <w:smallCaps w:val="false"/>
          <w:sz w:val="20"/>
        </w:rPr>
        <w:t> 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(k)</w:t>
      </w:r>
      <w:r>
        <w:rPr>
          <w:rFonts w:ascii="Times New Roman" w:hAnsi="Times New Roman"/>
          <w:caps w:val="false"/>
          <w:smallCaps w:val="false"/>
          <w:sz w:val="20"/>
        </w:rPr>
        <w:t> 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(l)</w:t>
      </w:r>
      <w:r>
        <w:rPr>
          <w:rFonts w:ascii="Times New Roman" w:hAnsi="Times New Roman"/>
          <w:caps w:val="false"/>
          <w:smallCaps w:val="false"/>
          <w:sz w:val="20"/>
        </w:rPr>
        <w:t> 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7.03</w:t>
      </w:r>
      <w:r>
        <w:rPr>
          <w:rFonts w:ascii="Times New Roman" w:hAnsi="Times New Roman"/>
          <w:caps w:val="false"/>
          <w:smallCaps w:val="false"/>
          <w:sz w:val="20"/>
        </w:rPr>
        <w:t> </w:t>
      </w:r>
      <w:r>
        <w:rPr>
          <w:rFonts w:ascii="Times New Roman" w:hAnsi="Times New Roman"/>
          <w:b/>
          <w:caps w:val="false"/>
          <w:smallCaps w:val="false"/>
          <w:sz w:val="20"/>
        </w:rPr>
        <w:t>Trustee Not Responsible for Recitals or Issuance or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Trustee makes no representations as to the validity or sufficiency of this Indenture or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7.04</w:t>
      </w:r>
      <w:r>
        <w:rPr>
          <w:rFonts w:ascii="Times New Roman" w:hAnsi="Times New Roman"/>
          <w:caps w:val="false"/>
          <w:smallCaps w:val="false"/>
          <w:sz w:val="20"/>
        </w:rPr>
        <w:t> </w:t>
      </w:r>
      <w:r>
        <w:rPr>
          <w:rFonts w:ascii="Times New Roman" w:hAnsi="Times New Roman"/>
          <w:b/>
          <w:caps w:val="false"/>
          <w:smallCaps w:val="false"/>
          <w:sz w:val="20"/>
        </w:rPr>
        <w:t>May Hold 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7.05</w:t>
      </w:r>
      <w:r>
        <w:rPr>
          <w:rFonts w:ascii="Times New Roman" w:hAnsi="Times New Roman"/>
          <w:caps w:val="false"/>
          <w:smallCaps w:val="false"/>
          <w:sz w:val="20"/>
        </w:rPr>
        <w:t> </w:t>
      </w:r>
      <w:r>
        <w:rPr>
          <w:rFonts w:ascii="Times New Roman" w:hAnsi="Times New Roman"/>
          <w:b/>
          <w:caps w:val="false"/>
          <w:smallCaps w:val="false"/>
          <w:sz w:val="20"/>
        </w:rPr>
        <w:t>Moneys Held in Trust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7.06</w:t>
      </w:r>
      <w:r>
        <w:rPr>
          <w:rFonts w:ascii="Times New Roman" w:hAnsi="Times New Roman"/>
          <w:caps w:val="false"/>
          <w:smallCaps w:val="false"/>
          <w:sz w:val="20"/>
        </w:rPr>
        <w:t> </w:t>
      </w:r>
      <w:r>
        <w:rPr>
          <w:rFonts w:ascii="Times New Roman" w:hAnsi="Times New Roman"/>
          <w:b/>
          <w:caps w:val="false"/>
          <w:smallCaps w:val="false"/>
          <w:sz w:val="20"/>
        </w:rPr>
        <w:t>Compensation and Reimbursement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Company shall indemnify the Trustee in each of its capacities hereunder, its officers, directors, employees and agents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The Company need not reimburse any expense or indemnify against any loss or liability incurred by the Trustee or by any officer, director, employee, shareholder or agent of the Trustee through negligence, reckless misconduct or bad faith established in a final, non-appealable order of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7.07</w:t>
      </w:r>
      <w:r>
        <w:rPr>
          <w:rFonts w:ascii="Times New Roman" w:hAnsi="Times New Roman"/>
          <w:caps w:val="false"/>
          <w:smallCaps w:val="false"/>
          <w:sz w:val="20"/>
        </w:rPr>
        <w:t> </w:t>
      </w:r>
      <w:r>
        <w:rPr>
          <w:rFonts w:ascii="Times New Roman" w:hAnsi="Times New Roman"/>
          <w:b/>
          <w:caps w:val="false"/>
          <w:smallCaps w:val="false"/>
          <w:sz w:val="20"/>
        </w:rPr>
        <w:t>Reliance on Officer</w:t>
      </w:r>
      <w:r>
        <w:rPr>
          <w:rFonts w:ascii="Times New Roman" w:hAnsi="Times New Roman"/>
          <w:caps w:val="false"/>
          <w:smallCaps w:val="false"/>
          <w:sz w:val="20"/>
        </w:rPr>
        <w:t>’</w:t>
      </w:r>
      <w:r>
        <w:rPr>
          <w:rFonts w:ascii="Times New Roman" w:hAnsi="Times New Roman"/>
          <w:b/>
          <w:caps w:val="false"/>
          <w:smallCaps w:val="false"/>
          <w:sz w:val="20"/>
        </w:rPr>
        <w:t>s Certificate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reckless misconduct or bad faith on the part of the Trustee, be deemed to be conclusively proved and established by an Officer’s Certificate delivered to the Trustee and such certificate, in the absence of negligence, reckless misconduct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7.08</w:t>
      </w:r>
      <w:r>
        <w:rPr>
          <w:rFonts w:ascii="Times New Roman" w:hAnsi="Times New Roman"/>
          <w:caps w:val="false"/>
          <w:smallCaps w:val="false"/>
          <w:sz w:val="20"/>
        </w:rPr>
        <w:t> </w:t>
      </w:r>
      <w:r>
        <w:rPr>
          <w:rFonts w:ascii="Times New Roman" w:hAnsi="Times New Roman"/>
          <w:b/>
          <w:caps w:val="false"/>
          <w:smallCaps w:val="false"/>
          <w:sz w:val="20"/>
        </w:rPr>
        <w:t>Disqualification; Conflicting Interests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7.09</w:t>
      </w:r>
      <w:r>
        <w:rPr>
          <w:rFonts w:ascii="Times New Roman" w:hAnsi="Times New Roman"/>
          <w:caps w:val="false"/>
          <w:smallCaps w:val="false"/>
          <w:sz w:val="20"/>
        </w:rPr>
        <w:t> </w:t>
      </w:r>
      <w:r>
        <w:rPr>
          <w:rFonts w:ascii="Times New Roman" w:hAnsi="Times New Roman"/>
          <w:b/>
          <w:caps w:val="false"/>
          <w:smallCaps w:val="false"/>
          <w:sz w:val="20"/>
        </w:rPr>
        <w:t>Corporate Trustee Required; Eligibility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7.10</w:t>
      </w:r>
      <w:r>
        <w:rPr>
          <w:rFonts w:ascii="Times New Roman" w:hAnsi="Times New Roman"/>
          <w:caps w:val="false"/>
          <w:smallCaps w:val="false"/>
          <w:sz w:val="20"/>
        </w:rPr>
        <w:t> </w:t>
      </w:r>
      <w:r>
        <w:rPr>
          <w:rFonts w:ascii="Times New Roman" w:hAnsi="Times New Roman"/>
          <w:b/>
          <w:caps w:val="false"/>
          <w:smallCaps w:val="false"/>
          <w:sz w:val="20"/>
        </w:rPr>
        <w:t>Resignation and Removal; Appointment of Successor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In case at any time any one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(ii)</w:t>
      </w:r>
      <w:r>
        <w:rPr>
          <w:rFonts w:ascii="Times New Roman" w:hAnsi="Times New Roman"/>
          <w:caps w:val="false"/>
          <w:smallCaps w:val="false"/>
          <w:sz w:val="20"/>
        </w:rPr>
        <w:t> 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b/>
          <w:caps w:val="false"/>
          <w:smallCaps w:val="false"/>
          <w:sz w:val="20"/>
        </w:rPr>
        <w:t>(iii)</w:t>
      </w:r>
      <w:r>
        <w:rPr>
          <w:rFonts w:ascii="Times New Roman" w:hAnsi="Times New Roman"/>
          <w:caps w:val="false"/>
          <w:smallCaps w:val="false"/>
          <w:sz w:val="20"/>
        </w:rPr>
        <w:t> 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7.11</w:t>
      </w:r>
      <w:r>
        <w:rPr>
          <w:rFonts w:ascii="Times New Roman" w:hAnsi="Times New Roman"/>
          <w:caps w:val="false"/>
          <w:smallCaps w:val="false"/>
          <w:sz w:val="20"/>
        </w:rPr>
        <w:t> </w:t>
      </w:r>
      <w:r>
        <w:rPr>
          <w:rFonts w:ascii="Times New Roman" w:hAnsi="Times New Roman"/>
          <w:b/>
          <w:caps w:val="false"/>
          <w:smallCaps w:val="false"/>
          <w:sz w:val="20"/>
        </w:rPr>
        <w:t>Acceptance of Appointment By Successor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No successor trustee shall accept its appointment unless at the time of such acceptance such successor trustee shall be qualified and eligible under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Upon acceptance of appointment by a successor trustee as provided in this Section, the Company shall send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7.12</w:t>
      </w:r>
      <w:r>
        <w:rPr>
          <w:rFonts w:ascii="Times New Roman" w:hAnsi="Times New Roman"/>
          <w:caps w:val="false"/>
          <w:smallCaps w:val="false"/>
          <w:sz w:val="20"/>
        </w:rPr>
        <w:t> </w:t>
      </w:r>
      <w:r>
        <w:rPr>
          <w:rFonts w:ascii="Times New Roman" w:hAnsi="Times New Roman"/>
          <w:b/>
          <w:caps w:val="false"/>
          <w:smallCaps w:val="false"/>
          <w:sz w:val="20"/>
        </w:rPr>
        <w:t>Merger, Conversion, Consolidation or Succession to Business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entity into which the Trustee may be merged or converted or with which it may be consolidated, or any entity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7.13</w:t>
      </w:r>
      <w:r>
        <w:rPr>
          <w:rFonts w:ascii="Times New Roman" w:hAnsi="Times New Roman"/>
          <w:caps w:val="false"/>
          <w:smallCaps w:val="false"/>
          <w:sz w:val="20"/>
        </w:rPr>
        <w:t> </w:t>
      </w:r>
      <w:r>
        <w:rPr>
          <w:rFonts w:ascii="Times New Roman" w:hAnsi="Times New Roman"/>
          <w:b/>
          <w:caps w:val="false"/>
          <w:smallCaps w:val="false"/>
          <w:sz w:val="20"/>
        </w:rPr>
        <w:t>Preferential Collection of Claims Against 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7.14</w:t>
      </w:r>
      <w:r>
        <w:rPr>
          <w:rFonts w:ascii="Times New Roman" w:hAnsi="Times New Roman"/>
          <w:caps w:val="false"/>
          <w:smallCaps w:val="false"/>
          <w:sz w:val="20"/>
        </w:rPr>
        <w:t> </w:t>
      </w:r>
      <w:r>
        <w:rPr>
          <w:rFonts w:ascii="Times New Roman" w:hAnsi="Times New Roman"/>
          <w:b/>
          <w:caps w:val="false"/>
          <w:smallCaps w:val="false"/>
          <w:sz w:val="20"/>
        </w:rPr>
        <w:t>Notice of Default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later of 90 days after it occurs and 30 days after it is known to a Responsible Officer of the Trustee or written notice of it is received by the Trustee, unless such Event of Default has been cured; provided, however,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8</w:t>
      </w:r>
      <w:r>
        <w:rPr>
          <w:rFonts w:ascii="Times New Roman" w:hAnsi="Times New Roman"/>
          <w:caps w:val="false"/>
          <w:smallCaps w:val="false"/>
          <w:sz w:val="20"/>
        </w:rPr>
        <w:br/>
        <w:br/>
      </w:r>
      <w:r>
        <w:rPr>
          <w:rFonts w:ascii="Times New Roman" w:hAnsi="Times New Roman"/>
          <w:b/>
          <w:caps w:val="false"/>
          <w:smallCaps w:val="false"/>
          <w:sz w:val="20"/>
        </w:rP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8.01</w:t>
      </w:r>
      <w:r>
        <w:rPr>
          <w:rFonts w:ascii="Times New Roman" w:hAnsi="Times New Roman"/>
          <w:caps w:val="false"/>
          <w:smallCaps w:val="false"/>
          <w:sz w:val="20"/>
        </w:rPr>
        <w:t> </w:t>
      </w:r>
      <w:r>
        <w:rPr>
          <w:rFonts w:ascii="Times New Roman" w:hAnsi="Times New Roman"/>
          <w:b/>
          <w:caps w:val="false"/>
          <w:smallCaps w:val="false"/>
          <w:sz w:val="20"/>
        </w:rPr>
        <w:t>Evidence of Action by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8.02</w:t>
      </w:r>
      <w:r>
        <w:rPr>
          <w:rFonts w:ascii="Times New Roman" w:hAnsi="Times New Roman"/>
          <w:caps w:val="false"/>
          <w:smallCaps w:val="false"/>
          <w:sz w:val="20"/>
        </w:rPr>
        <w:t> </w:t>
      </w:r>
      <w:r>
        <w:rPr>
          <w:rFonts w:ascii="Times New Roman" w:hAnsi="Times New Roman"/>
          <w:b/>
          <w:caps w:val="false"/>
          <w:smallCaps w:val="false"/>
          <w:sz w:val="20"/>
        </w:rPr>
        <w:t>Proof of Execution by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The fact and date of the execution by any such Person of any instrument may be proved in any reasonable manner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The ownership of Securities shall be proved by the Security Register of such Securities or by a certificate of the Security Registrar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8.03</w:t>
      </w:r>
      <w:r>
        <w:rPr>
          <w:rFonts w:ascii="Times New Roman" w:hAnsi="Times New Roman"/>
          <w:caps w:val="false"/>
          <w:smallCaps w:val="false"/>
          <w:sz w:val="20"/>
        </w:rPr>
        <w:t> </w:t>
      </w:r>
      <w:r>
        <w:rPr>
          <w:rFonts w:ascii="Times New Roman" w:hAnsi="Times New Roman"/>
          <w:b/>
          <w:caps w:val="false"/>
          <w:smallCaps w:val="false"/>
          <w:sz w:val="20"/>
        </w:rPr>
        <w:t>Who May be Deemed Owners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8.04</w:t>
      </w:r>
      <w:r>
        <w:rPr>
          <w:rFonts w:ascii="Times New Roman" w:hAnsi="Times New Roman"/>
          <w:caps w:val="false"/>
          <w:smallCaps w:val="false"/>
          <w:sz w:val="20"/>
        </w:rPr>
        <w:t> </w:t>
      </w:r>
      <w:r>
        <w:rPr>
          <w:rFonts w:ascii="Times New Roman" w:hAnsi="Times New Roman"/>
          <w:b/>
          <w:caps w:val="false"/>
          <w:smallCaps w:val="false"/>
          <w:sz w:val="20"/>
        </w:rPr>
        <w:t>Certain Securities Owned by Company Disregarded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a Responsible Officer of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8.05</w:t>
      </w:r>
      <w:r>
        <w:rPr>
          <w:rFonts w:ascii="Times New Roman" w:hAnsi="Times New Roman"/>
          <w:caps w:val="false"/>
          <w:smallCaps w:val="false"/>
          <w:sz w:val="20"/>
        </w:rPr>
        <w:t> </w:t>
      </w:r>
      <w:r>
        <w:rPr>
          <w:rFonts w:ascii="Times New Roman" w:hAnsi="Times New Roman"/>
          <w:b/>
          <w:caps w:val="false"/>
          <w:smallCaps w:val="false"/>
          <w:sz w:val="20"/>
        </w:rPr>
        <w:t>Actions Binding on Future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9</w:t>
      </w:r>
      <w:r>
        <w:rPr>
          <w:rFonts w:ascii="Times New Roman" w:hAnsi="Times New Roman"/>
          <w:caps w:val="false"/>
          <w:smallCaps w:val="false"/>
          <w:sz w:val="20"/>
        </w:rPr>
        <w:br/>
        <w:br/>
      </w:r>
      <w:r>
        <w:rPr>
          <w:rFonts w:ascii="Times New Roman" w:hAnsi="Times New Roman"/>
          <w:b/>
          <w:caps w:val="false"/>
          <w:smallCaps w:val="false"/>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9.01</w:t>
      </w:r>
      <w:r>
        <w:rPr>
          <w:rFonts w:ascii="Times New Roman" w:hAnsi="Times New Roman"/>
          <w:caps w:val="false"/>
          <w:smallCaps w:val="false"/>
          <w:sz w:val="20"/>
        </w:rPr>
        <w:t> </w:t>
      </w:r>
      <w:r>
        <w:rPr>
          <w:rFonts w:ascii="Times New Roman" w:hAnsi="Times New Roman"/>
          <w:b/>
          <w:caps w:val="false"/>
          <w:smallCaps w:val="false"/>
          <w:sz w:val="20"/>
        </w:rPr>
        <w:t>Supplemental Indentures Without the Consent of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to cure any ambiguity, defect, or inconsistency herein or in the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to comply with Article Ten;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to provide for uncertificated Securities in addition to or in place of 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(d)</w:t>
      </w:r>
      <w:r>
        <w:rPr>
          <w:rFonts w:ascii="Times New Roman" w:hAnsi="Times New Roman"/>
          <w:caps w:val="false"/>
          <w:smallCaps w:val="false"/>
          <w:sz w:val="20"/>
        </w:rPr>
        <w:t> 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(e)</w:t>
      </w:r>
      <w:r>
        <w:rPr>
          <w:rFonts w:ascii="Times New Roman" w:hAnsi="Times New Roman"/>
          <w:caps w:val="false"/>
          <w:smallCaps w:val="false"/>
          <w:sz w:val="20"/>
        </w:rPr>
        <w:t> 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(f)</w:t>
      </w:r>
      <w:r>
        <w:rPr>
          <w:rFonts w:ascii="Times New Roman" w:hAnsi="Times New Roman"/>
          <w:caps w:val="false"/>
          <w:smallCaps w:val="false"/>
          <w:sz w:val="20"/>
        </w:rPr>
        <w:t> to make any change that does not adversely affect the rights of any Securityholder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(g)</w:t>
      </w:r>
      <w:r>
        <w:rPr>
          <w:rFonts w:ascii="Times New Roman" w:hAnsi="Times New Roman"/>
          <w:caps w:val="false"/>
          <w:smallCaps w:val="false"/>
          <w:sz w:val="20"/>
        </w:rPr>
        <w:t> 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(h)</w:t>
      </w:r>
      <w:r>
        <w:rPr>
          <w:rFonts w:ascii="Times New Roman" w:hAnsi="Times New Roman"/>
          <w:caps w:val="false"/>
          <w:smallCaps w:val="false"/>
          <w:sz w:val="20"/>
        </w:rPr>
        <w:t> to evidence and provide for the acceptance of appointment hereunder by a successor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(i)</w:t>
      </w:r>
      <w:r>
        <w:rPr>
          <w:rFonts w:ascii="Times New Roman" w:hAnsi="Times New Roman"/>
          <w:caps w:val="false"/>
          <w:smallCaps w:val="false"/>
          <w:sz w:val="20"/>
        </w:rPr>
        <w:t> to comply with any requirements of the Commission or any successor in connection with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benefits, privileges, protections, indemnities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9.02</w:t>
      </w:r>
      <w:r>
        <w:rPr>
          <w:rFonts w:ascii="Times New Roman" w:hAnsi="Times New Roman"/>
          <w:caps w:val="false"/>
          <w:smallCaps w:val="false"/>
          <w:sz w:val="20"/>
        </w:rPr>
        <w:t> </w:t>
      </w:r>
      <w:r>
        <w:rPr>
          <w:rFonts w:ascii="Times New Roman" w:hAnsi="Times New Roman"/>
          <w:b/>
          <w:caps w:val="false"/>
          <w:smallCaps w:val="false"/>
          <w:sz w:val="20"/>
        </w:rPr>
        <w:t>Supplemental Indentures With Consent of Securityholders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9.03</w:t>
      </w:r>
      <w:r>
        <w:rPr>
          <w:rFonts w:ascii="Times New Roman" w:hAnsi="Times New Roman"/>
          <w:caps w:val="false"/>
          <w:smallCaps w:val="false"/>
          <w:sz w:val="20"/>
        </w:rPr>
        <w:t> </w:t>
      </w:r>
      <w:r>
        <w:rPr>
          <w:rFonts w:ascii="Times New Roman" w:hAnsi="Times New Roman"/>
          <w:b/>
          <w:caps w:val="false"/>
          <w:smallCaps w:val="false"/>
          <w:sz w:val="20"/>
        </w:rPr>
        <w:t>Effect of Supplemental Indentures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9.04</w:t>
      </w:r>
      <w:r>
        <w:rPr>
          <w:rFonts w:ascii="Times New Roman" w:hAnsi="Times New Roman"/>
          <w:caps w:val="false"/>
          <w:smallCaps w:val="false"/>
          <w:sz w:val="20"/>
        </w:rPr>
        <w:t> </w:t>
      </w:r>
      <w:r>
        <w:rPr>
          <w:rFonts w:ascii="Times New Roman" w:hAnsi="Times New Roman"/>
          <w:b/>
          <w:caps w:val="false"/>
          <w:smallCaps w:val="false"/>
          <w:sz w:val="20"/>
        </w:rPr>
        <w:t>Securities Affected by Supplemental Indentures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9.05</w:t>
      </w:r>
      <w:r>
        <w:rPr>
          <w:rFonts w:ascii="Times New Roman" w:hAnsi="Times New Roman"/>
          <w:caps w:val="false"/>
          <w:smallCaps w:val="false"/>
          <w:sz w:val="20"/>
        </w:rPr>
        <w:t> </w:t>
      </w:r>
      <w:r>
        <w:rPr>
          <w:rFonts w:ascii="Times New Roman" w:hAnsi="Times New Roman"/>
          <w:b/>
          <w:caps w:val="false"/>
          <w:smallCaps w:val="false"/>
          <w:sz w:val="20"/>
        </w:rPr>
        <w:t>Execution of Supplemental Indentures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benefits, privileges, protections, indemnities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Promptly after the execution by the Company and the Trustee of any supplemental indenture pursuant to the provisions of this Section, the Company shall (or shall direct the Trustee to) send a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10</w:t>
      </w:r>
      <w:r>
        <w:rPr>
          <w:rFonts w:ascii="Times New Roman" w:hAnsi="Times New Roman"/>
          <w:caps w:val="false"/>
          <w:smallCaps w:val="false"/>
          <w:sz w:val="20"/>
        </w:rPr>
        <w:br/>
        <w:br/>
      </w:r>
      <w:r>
        <w:rPr>
          <w:rFonts w:ascii="Times New Roman" w:hAnsi="Times New Roman"/>
          <w:b/>
          <w:caps w:val="false"/>
          <w:smallCaps w:val="false"/>
          <w:sz w:val="20"/>
        </w:rPr>
        <w:t>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10.01</w:t>
      </w:r>
      <w:r>
        <w:rPr>
          <w:rFonts w:ascii="Times New Roman" w:hAnsi="Times New Roman"/>
          <w:caps w:val="false"/>
          <w:smallCaps w:val="false"/>
          <w:sz w:val="20"/>
        </w:rPr>
        <w:t> </w:t>
      </w:r>
      <w:r>
        <w:rPr>
          <w:rFonts w:ascii="Times New Roman" w:hAnsi="Times New Roman"/>
          <w:b/>
          <w:caps w:val="false"/>
          <w:smallCaps w:val="false"/>
          <w:sz w:val="20"/>
        </w:rPr>
        <w:t>Company May Consolidate, Etc</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10.02</w:t>
      </w:r>
      <w:r>
        <w:rPr>
          <w:rFonts w:ascii="Times New Roman" w:hAnsi="Times New Roman"/>
          <w:caps w:val="false"/>
          <w:smallCaps w:val="false"/>
          <w:sz w:val="20"/>
        </w:rPr>
        <w:t> </w:t>
      </w:r>
      <w:r>
        <w:rPr>
          <w:rFonts w:ascii="Times New Roman" w:hAnsi="Times New Roman"/>
          <w:b/>
          <w:caps w:val="false"/>
          <w:smallCaps w:val="false"/>
          <w:sz w:val="20"/>
        </w:rPr>
        <w:t>Successor Entity Substituted</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In case of any such consolidation,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(c)</w:t>
      </w:r>
      <w:r>
        <w:rPr>
          <w:rFonts w:ascii="Times New Roman" w:hAnsi="Times New Roman"/>
          <w:caps w:val="false"/>
          <w:smallCaps w:val="false"/>
          <w:sz w:val="20"/>
        </w:rPr>
        <w:t> 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11</w:t>
      </w:r>
      <w:r>
        <w:rPr>
          <w:rFonts w:ascii="Times New Roman" w:hAnsi="Times New Roman"/>
          <w:caps w:val="false"/>
          <w:smallCaps w:val="false"/>
          <w:sz w:val="20"/>
        </w:rPr>
        <w:br/>
        <w:br/>
      </w:r>
      <w:r>
        <w:rPr>
          <w:rFonts w:ascii="Times New Roman" w:hAnsi="Times New Roman"/>
          <w:b/>
          <w:caps w:val="false"/>
          <w:smallCaps w:val="false"/>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11.01</w:t>
      </w:r>
      <w:r>
        <w:rPr>
          <w:rFonts w:ascii="Times New Roman" w:hAnsi="Times New Roman"/>
          <w:caps w:val="false"/>
          <w:smallCaps w:val="false"/>
          <w:sz w:val="20"/>
        </w:rPr>
        <w:t> </w:t>
      </w:r>
      <w:r>
        <w:rPr>
          <w:rFonts w:ascii="Times New Roman" w:hAnsi="Times New Roman"/>
          <w:b/>
          <w:caps w:val="false"/>
          <w:smallCaps w:val="false"/>
          <w:sz w:val="20"/>
        </w:rPr>
        <w:t>Satisfaction and Discharge of Indenture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11.02</w:t>
      </w:r>
      <w:r>
        <w:rPr>
          <w:rFonts w:ascii="Times New Roman" w:hAnsi="Times New Roman"/>
          <w:caps w:val="false"/>
          <w:smallCaps w:val="false"/>
          <w:sz w:val="20"/>
        </w:rPr>
        <w:t> </w:t>
      </w:r>
      <w:r>
        <w:rPr>
          <w:rFonts w:ascii="Times New Roman" w:hAnsi="Times New Roman"/>
          <w:b/>
          <w:caps w:val="false"/>
          <w:smallCaps w:val="false"/>
          <w:sz w:val="20"/>
        </w:rPr>
        <w:t>Discharge of Obligations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Thereafter, Sections 7.06 and 11.05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11.03</w:t>
      </w:r>
      <w:r>
        <w:rPr>
          <w:rFonts w:ascii="Times New Roman" w:hAnsi="Times New Roman"/>
          <w:caps w:val="false"/>
          <w:smallCaps w:val="false"/>
          <w:sz w:val="20"/>
        </w:rPr>
        <w:t> </w:t>
      </w:r>
      <w:r>
        <w:rPr>
          <w:rFonts w:ascii="Times New Roman" w:hAnsi="Times New Roman"/>
          <w:b/>
          <w:caps w:val="false"/>
          <w:smallCaps w:val="false"/>
          <w:sz w:val="20"/>
        </w:rPr>
        <w:t>Deposited Moneys to be Held in Trust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11.04</w:t>
      </w:r>
      <w:r>
        <w:rPr>
          <w:rFonts w:ascii="Times New Roman" w:hAnsi="Times New Roman"/>
          <w:caps w:val="false"/>
          <w:smallCaps w:val="false"/>
          <w:sz w:val="20"/>
        </w:rPr>
        <w:t> </w:t>
      </w:r>
      <w:r>
        <w:rPr>
          <w:rFonts w:ascii="Times New Roman" w:hAnsi="Times New Roman"/>
          <w:b/>
          <w:caps w:val="false"/>
          <w:smallCaps w:val="false"/>
          <w:sz w:val="20"/>
        </w:rPr>
        <w:t>Payment of Moneys Held by Paying Agents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11.05</w:t>
      </w:r>
      <w:r>
        <w:rPr>
          <w:rFonts w:ascii="Times New Roman" w:hAnsi="Times New Roman"/>
          <w:caps w:val="false"/>
          <w:smallCaps w:val="false"/>
          <w:sz w:val="20"/>
        </w:rPr>
        <w:t> </w:t>
      </w:r>
      <w:r>
        <w:rPr>
          <w:rFonts w:ascii="Times New Roman" w:hAnsi="Times New Roman"/>
          <w:b/>
          <w:caps w:val="false"/>
          <w:smallCaps w:val="false"/>
          <w:sz w:val="20"/>
        </w:rPr>
        <w:t>Repayment to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12</w:t>
      </w:r>
      <w:r>
        <w:rPr>
          <w:rFonts w:ascii="Times New Roman" w:hAnsi="Times New Roman"/>
          <w:caps w:val="false"/>
          <w:smallCaps w:val="false"/>
          <w:sz w:val="20"/>
        </w:rPr>
        <w:br/>
        <w:br/>
      </w:r>
      <w:r>
        <w:rPr>
          <w:rFonts w:ascii="Times New Roman" w:hAnsi="Times New Roman"/>
          <w:b/>
          <w:caps w:val="false"/>
          <w:smallCaps w:val="false"/>
          <w:sz w:val="20"/>
        </w:rP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12.01</w:t>
      </w:r>
      <w:r>
        <w:rPr>
          <w:rFonts w:ascii="Times New Roman" w:hAnsi="Times New Roman"/>
          <w:caps w:val="false"/>
          <w:smallCaps w:val="false"/>
          <w:sz w:val="20"/>
        </w:rPr>
        <w:t> </w:t>
      </w:r>
      <w:r>
        <w:rPr>
          <w:rFonts w:ascii="Times New Roman" w:hAnsi="Times New Roman"/>
          <w:b/>
          <w:caps w:val="false"/>
          <w:smallCaps w:val="false"/>
          <w:sz w:val="20"/>
        </w:rPr>
        <w:t>No Recourse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ARTICLE 13</w:t>
      </w:r>
      <w:r>
        <w:rPr>
          <w:rFonts w:ascii="Times New Roman" w:hAnsi="Times New Roman"/>
          <w:caps w:val="false"/>
          <w:smallCaps w:val="false"/>
          <w:sz w:val="20"/>
        </w:rPr>
        <w:br/>
        <w:br/>
      </w:r>
      <w:r>
        <w:rPr>
          <w:rFonts w:ascii="Times New Roman" w:hAnsi="Times New Roman"/>
          <w:b/>
          <w:caps w:val="false"/>
          <w:smallCaps w:val="false"/>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13.01</w:t>
      </w:r>
      <w:r>
        <w:rPr>
          <w:rFonts w:ascii="Times New Roman" w:hAnsi="Times New Roman"/>
          <w:caps w:val="false"/>
          <w:smallCaps w:val="false"/>
          <w:sz w:val="20"/>
        </w:rPr>
        <w:t> </w:t>
      </w:r>
      <w:r>
        <w:rPr>
          <w:rFonts w:ascii="Times New Roman" w:hAnsi="Times New Roman"/>
          <w:b/>
          <w:caps w:val="false"/>
          <w:smallCaps w:val="false"/>
          <w:sz w:val="20"/>
        </w:rPr>
        <w:t>Effect on Successors and Assigns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13.02</w:t>
      </w:r>
      <w:r>
        <w:rPr>
          <w:rFonts w:ascii="Times New Roman" w:hAnsi="Times New Roman"/>
          <w:caps w:val="false"/>
          <w:smallCaps w:val="false"/>
          <w:sz w:val="20"/>
        </w:rPr>
        <w:t> </w:t>
      </w:r>
      <w:r>
        <w:rPr>
          <w:rFonts w:ascii="Times New Roman" w:hAnsi="Times New Roman"/>
          <w:b/>
          <w:caps w:val="false"/>
          <w:smallCaps w:val="false"/>
          <w:sz w:val="20"/>
        </w:rPr>
        <w:t>Actions by Successor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13.03</w:t>
      </w:r>
      <w:r>
        <w:rPr>
          <w:rFonts w:ascii="Times New Roman" w:hAnsi="Times New Roman"/>
          <w:caps w:val="false"/>
          <w:smallCaps w:val="false"/>
          <w:sz w:val="20"/>
        </w:rPr>
        <w:t> </w:t>
      </w:r>
      <w:r>
        <w:rPr>
          <w:rFonts w:ascii="Times New Roman" w:hAnsi="Times New Roman"/>
          <w:b/>
          <w:caps w:val="false"/>
          <w:smallCaps w:val="false"/>
          <w:sz w:val="20"/>
        </w:rPr>
        <w:t>Surrender of Company Powers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13.04</w:t>
      </w:r>
      <w:r>
        <w:rPr>
          <w:rFonts w:ascii="Times New Roman" w:hAnsi="Times New Roman"/>
          <w:caps w:val="false"/>
          <w:smallCaps w:val="false"/>
          <w:sz w:val="20"/>
        </w:rPr>
        <w:t> </w:t>
      </w:r>
      <w:r>
        <w:rPr>
          <w:rFonts w:ascii="Times New Roman" w:hAnsi="Times New Roman"/>
          <w:b/>
          <w:caps w:val="false"/>
          <w:smallCaps w:val="false"/>
          <w:sz w:val="20"/>
        </w:rPr>
        <w:t>Notices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Any notice, election, request or demand (other than service of process) by the Company or any Securityholder or by any other Person pursuant to this Indenture to or upon the Trustee shall be deemed to have been sufficiently given or made, for all purposes, if given or made in writing at the Corporate Trust Office of the Trustee. If the Company delivers a notice of communication to the Securityholders, it shall deliver concurrently a copy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13.05</w:t>
      </w:r>
      <w:r>
        <w:rPr>
          <w:rFonts w:ascii="Times New Roman" w:hAnsi="Times New Roman"/>
          <w:caps w:val="false"/>
          <w:smallCaps w:val="false"/>
          <w:sz w:val="20"/>
        </w:rPr>
        <w:t> </w:t>
      </w:r>
      <w:r>
        <w:rPr>
          <w:rFonts w:ascii="Times New Roman" w:hAnsi="Times New Roman"/>
          <w:b/>
          <w:caps w:val="false"/>
          <w:smallCaps w:val="false"/>
          <w:sz w:val="20"/>
        </w:rPr>
        <w:t>Governing Law; Jury Trial Waiver</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Indenture and each Security shall be governed by, and construed in accordance with, the internal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13.06</w:t>
      </w:r>
      <w:r>
        <w:rPr>
          <w:rFonts w:ascii="Times New Roman" w:hAnsi="Times New Roman"/>
          <w:caps w:val="false"/>
          <w:smallCaps w:val="false"/>
          <w:sz w:val="20"/>
        </w:rPr>
        <w:t> </w:t>
      </w:r>
      <w:r>
        <w:rPr>
          <w:rFonts w:ascii="Times New Roman" w:hAnsi="Times New Roman"/>
          <w:b/>
          <w:caps w:val="false"/>
          <w:smallCaps w:val="false"/>
          <w:sz w:val="20"/>
        </w:rPr>
        <w:t>Treatment of Securities as Debt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13.07</w:t>
      </w:r>
      <w:r>
        <w:rPr>
          <w:rFonts w:ascii="Times New Roman" w:hAnsi="Times New Roman"/>
          <w:caps w:val="false"/>
          <w:smallCaps w:val="false"/>
          <w:sz w:val="20"/>
        </w:rPr>
        <w:t> </w:t>
      </w:r>
      <w:r>
        <w:rPr>
          <w:rFonts w:ascii="Times New Roman" w:hAnsi="Times New Roman"/>
          <w:b/>
          <w:caps w:val="false"/>
          <w:smallCaps w:val="false"/>
          <w:sz w:val="20"/>
        </w:rPr>
        <w:t>Certificates and Opinions as to Conditions Precedent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13.08</w:t>
      </w:r>
      <w:r>
        <w:rPr>
          <w:rFonts w:ascii="Times New Roman" w:hAnsi="Times New Roman"/>
          <w:caps w:val="false"/>
          <w:smallCaps w:val="false"/>
          <w:sz w:val="20"/>
        </w:rPr>
        <w:t> </w:t>
      </w:r>
      <w:r>
        <w:rPr>
          <w:rFonts w:ascii="Times New Roman" w:hAnsi="Times New Roman"/>
          <w:b/>
          <w:caps w:val="false"/>
          <w:smallCaps w:val="false"/>
          <w:sz w:val="20"/>
        </w:rPr>
        <w:t>Payments on Business Days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13.09</w:t>
      </w:r>
      <w:r>
        <w:rPr>
          <w:rFonts w:ascii="Times New Roman" w:hAnsi="Times New Roman"/>
          <w:caps w:val="false"/>
          <w:smallCaps w:val="false"/>
          <w:sz w:val="20"/>
        </w:rPr>
        <w:t> </w:t>
      </w:r>
      <w:r>
        <w:rPr>
          <w:rFonts w:ascii="Times New Roman" w:hAnsi="Times New Roman"/>
          <w:b/>
          <w:caps w:val="false"/>
          <w:smallCaps w:val="false"/>
          <w:sz w:val="20"/>
        </w:rPr>
        <w:t>Conflict with Trust Indenture Act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and to the extent that any provision of this Indenture limits, qualifies or conflicts with the duties imposed by Section 318(c) of the Trust Indenture Act, such imposed duties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13.10</w:t>
      </w:r>
      <w:r>
        <w:rPr>
          <w:rFonts w:ascii="Times New Roman" w:hAnsi="Times New Roman"/>
          <w:caps w:val="false"/>
          <w:smallCaps w:val="false"/>
          <w:sz w:val="20"/>
        </w:rPr>
        <w:t> </w:t>
      </w:r>
      <w:r>
        <w:rPr>
          <w:rFonts w:ascii="Times New Roman" w:hAnsi="Times New Roman"/>
          <w:b/>
          <w:caps w:val="false"/>
          <w:smallCaps w:val="false"/>
          <w:sz w:val="20"/>
        </w:rPr>
        <w:t>Counterparts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Counterparts may be delivered via facsimile, PDF, electronic mail (including any electronic signature covered by the U.S. federal ESIGN Act of 2000, Uniform Electronic Transactions Act, the Electronics Signatures and Records Act or other applicable law, e.g., www.docusign.com) or other transmission method and any counterparty so delivered shall be deemed to have been duly and validly delivered and be valid and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13.11</w:t>
      </w:r>
      <w:r>
        <w:rPr>
          <w:rFonts w:ascii="Times New Roman" w:hAnsi="Times New Roman"/>
          <w:caps w:val="false"/>
          <w:smallCaps w:val="false"/>
          <w:sz w:val="20"/>
        </w:rPr>
        <w:t> </w:t>
      </w:r>
      <w:r>
        <w:rPr>
          <w:rFonts w:ascii="Times New Roman" w:hAnsi="Times New Roman"/>
          <w:b/>
          <w:caps w:val="false"/>
          <w:smallCaps w:val="false"/>
          <w:sz w:val="20"/>
        </w:rPr>
        <w:t>Separability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13.12</w:t>
      </w:r>
      <w:r>
        <w:rPr>
          <w:rFonts w:ascii="Times New Roman" w:hAnsi="Times New Roman"/>
          <w:caps w:val="false"/>
          <w:smallCaps w:val="false"/>
          <w:sz w:val="20"/>
        </w:rPr>
        <w:t> </w:t>
      </w:r>
      <w:r>
        <w:rPr>
          <w:rFonts w:ascii="Times New Roman" w:hAnsi="Times New Roman"/>
          <w:b/>
          <w:caps w:val="false"/>
          <w:smallCaps w:val="false"/>
          <w:sz w:val="20"/>
        </w:rPr>
        <w:t>Compliance Certificates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13.13</w:t>
      </w:r>
      <w:r>
        <w:rPr>
          <w:rFonts w:ascii="Times New Roman" w:hAnsi="Times New Roman"/>
          <w:caps w:val="false"/>
          <w:smallCaps w:val="false"/>
          <w:sz w:val="20"/>
        </w:rPr>
        <w:t> </w:t>
      </w:r>
      <w:r>
        <w:rPr>
          <w:rFonts w:ascii="Times New Roman" w:hAnsi="Times New Roman"/>
          <w:b/>
          <w:caps w:val="false"/>
          <w:smallCaps w:val="false"/>
          <w:sz w:val="20"/>
        </w:rPr>
        <w:t>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13.14</w:t>
      </w:r>
      <w:r>
        <w:rPr>
          <w:rFonts w:ascii="Times New Roman" w:hAnsi="Times New Roman"/>
          <w:caps w:val="false"/>
          <w:smallCaps w:val="false"/>
          <w:sz w:val="20"/>
        </w:rPr>
        <w:t> </w:t>
      </w:r>
      <w:r>
        <w:rPr>
          <w:rFonts w:ascii="Times New Roman" w:hAnsi="Times New Roman"/>
          <w:b/>
          <w:caps w:val="false"/>
          <w:smallCaps w:val="false"/>
          <w:sz w:val="20"/>
        </w:rPr>
        <w:t>Force Majeure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Section 13.15</w:t>
      </w:r>
      <w:r>
        <w:rPr>
          <w:rFonts w:ascii="Times New Roman" w:hAnsi="Times New Roman"/>
          <w:caps w:val="false"/>
          <w:smallCaps w:val="false"/>
          <w:sz w:val="20"/>
        </w:rPr>
        <w:t> </w:t>
      </w:r>
      <w:r>
        <w:rPr>
          <w:rFonts w:ascii="Times New Roman" w:hAnsi="Times New Roman"/>
          <w:b/>
          <w:caps w:val="false"/>
          <w:smallCaps w:val="false"/>
          <w:sz w:val="20"/>
        </w:rPr>
        <w:t>Table of Contents; Headings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IN WITNESS WHEREOF</w:t>
      </w:r>
      <w:r>
        <w:rPr>
          <w:rFonts w:ascii="Times New Roman" w:hAnsi="Times New Roman"/>
          <w:caps w:val="false"/>
          <w:smallCaps w:val="false"/>
          <w:sz w:val="20"/>
        </w:rPr>
        <w:t>,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689" w:type="dxa"/>
        <w:jc w:val="left"/>
        <w:tblInd w:w="0" w:type="dxa"/>
        <w:tblLayout w:type="fixed"/>
        <w:tblCellMar>
          <w:top w:w="0" w:type="dxa"/>
          <w:left w:w="0" w:type="dxa"/>
          <w:bottom w:w="0" w:type="dxa"/>
          <w:right w:w="0" w:type="dxa"/>
        </w:tblCellMar>
      </w:tblPr>
      <w:tblGrid>
        <w:gridCol w:w="2318"/>
        <w:gridCol w:w="311"/>
        <w:gridCol w:w="60"/>
      </w:tblGrid>
      <w:tr>
        <w:trPr/>
        <w:tc>
          <w:tcPr>
            <w:tcW w:w="2629" w:type="dxa"/>
            <w:gridSpan w:val="2"/>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CREATIVE REALITIES, INC.</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1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311" w:type="dxa"/>
            <w:tcBorders>
              <w:bottom w:val="single" w:sz="2" w:space="0" w:color="000000"/>
            </w:tcBorders>
            <w:tcMar>
              <w:bottom w:w="28"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31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629"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r>
              <w:rPr>
                <w:rFonts w:ascii="Times New Roman" w:hAnsi="Times New Roman"/>
                <w:b/>
                <w:caps w:val="false"/>
                <w:smallCaps w:val="false"/>
                <w:sz w:val="20"/>
              </w:rPr>
              <w:t>TRUSTEE</w:t>
            </w:r>
            <w:r>
              <w:rPr>
                <w:rFonts w:ascii="Times New Roman" w:hAnsi="Times New Roman"/>
                <w:caps w:val="false"/>
                <w:smallCaps w:val="false"/>
                <w:sz w:val="20"/>
              </w:rPr>
              <w:t>], as Trustee</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1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Name:</w:t>
            </w:r>
          </w:p>
        </w:tc>
        <w:tc>
          <w:tcPr>
            <w:tcW w:w="31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31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31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CROSS-REFERENCE TABLE (1)</w:t>
      </w:r>
    </w:p>
    <w:p>
      <w:pPr>
        <w:pStyle w:val="TextBody"/>
        <w:bidi w:val="0"/>
        <w:spacing w:before="0" w:after="0"/>
        <w:ind w:left="0" w:right="0" w:hanging="0"/>
        <w:jc w:val="left"/>
        <w:rPr>
          <w:caps w:val="false"/>
          <w:smallCaps w:val="false"/>
        </w:rPr>
      </w:pPr>
      <w:r>
        <w:rPr>
          <w:caps w:val="false"/>
          <w:smallCaps w:val="false"/>
        </w:rPr>
        <w:t> </w:t>
      </w:r>
    </w:p>
    <w:tbl>
      <w:tblPr>
        <w:tblW w:w="5950" w:type="dxa"/>
        <w:jc w:val="left"/>
        <w:tblInd w:w="0" w:type="dxa"/>
        <w:tblLayout w:type="fixed"/>
        <w:tblCellMar>
          <w:top w:w="0" w:type="dxa"/>
          <w:left w:w="0" w:type="dxa"/>
          <w:bottom w:w="28" w:type="dxa"/>
          <w:right w:w="0" w:type="dxa"/>
        </w:tblCellMar>
      </w:tblPr>
      <w:tblGrid>
        <w:gridCol w:w="4220"/>
        <w:gridCol w:w="60"/>
        <w:gridCol w:w="1670"/>
      </w:tblGrid>
      <w:tr>
        <w:trPr/>
        <w:tc>
          <w:tcPr>
            <w:tcW w:w="4220" w:type="dxa"/>
            <w:tcBorders>
              <w:bottom w:val="single" w:sz="2" w:space="0" w:color="000000"/>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of Trust Indenture Act of 1939, as Amended</w:t>
            </w:r>
          </w:p>
        </w:tc>
        <w:tc>
          <w:tcPr>
            <w:tcW w:w="60" w:type="dxa"/>
            <w:tcBorders/>
            <w:tcMar>
              <w:bottom w:w="0" w:type="dxa"/>
            </w:tcMar>
            <w:vAlign w:val="center"/>
          </w:tcPr>
          <w:p>
            <w:pPr>
              <w:pStyle w:val="TableContents"/>
              <w:bidi w:val="0"/>
              <w:spacing w:before="0" w:after="283"/>
              <w:jc w:val="left"/>
              <w:rPr/>
            </w:pPr>
            <w:r>
              <w:rPr/>
              <w:t> </w:t>
            </w:r>
          </w:p>
        </w:tc>
        <w:tc>
          <w:tcPr>
            <w:tcW w:w="167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Section of Indenture</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310(a)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7.09</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310(b)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7.08</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7.10</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310(c)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Inapplicable</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7.13</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7.13</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311(c)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Inapplicable</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5.01</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5.02(a)</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5.02(c)</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312(c)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5.02(c)</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313(a)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5.04(a)</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313(b)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5.04(b)</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313(c)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5.04(a)</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5.04(b)</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313(d)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5.04(c)</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314(a)</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5.03</w:t>
            </w:r>
          </w:p>
        </w:tc>
      </w:tr>
      <w:tr>
        <w:trPr/>
        <w:tc>
          <w:tcPr>
            <w:tcW w:w="42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13.12</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314(b)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Inapplicable</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314(c)</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13.07(a)</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314(d)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Inapplicable</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314(e)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13.07(b)</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314(f)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Inapplicable</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315(a)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7.01(a)</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7.01(b)</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315(b)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7.14</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315(c)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7.01</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315(d)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7.01(b)</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315(e)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6.07</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316(a)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6.06</w:t>
            </w:r>
          </w:p>
        </w:tc>
      </w:tr>
      <w:tr>
        <w:trPr/>
        <w:tc>
          <w:tcPr>
            <w:tcW w:w="422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8.04</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316(b)</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6.04</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316(c)</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8.01</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317(a)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6.02</w:t>
            </w:r>
          </w:p>
        </w:tc>
      </w:tr>
      <w:tr>
        <w:trPr/>
        <w:tc>
          <w:tcPr>
            <w:tcW w:w="4220"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317(b)</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7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4.03</w:t>
            </w:r>
          </w:p>
        </w:tc>
      </w:tr>
      <w:tr>
        <w:trPr/>
        <w:tc>
          <w:tcPr>
            <w:tcW w:w="4220"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318(a)</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7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This Cross-Reference Table does not constitute part of the Indenture and shall not have any bearing on the interpretation of any of its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37</w:t>
      </w:r>
    </w:p>
    <w:p>
      <w:pPr>
        <w:pStyle w:val="TextBody"/>
        <w:bidi w:val="0"/>
        <w:spacing w:before="0" w:after="0"/>
        <w:ind w:left="0" w:right="0" w:hanging="0"/>
        <w:jc w:val="right"/>
        <w:rPr>
          <w:rFonts w:ascii="Times New Roman" w:hAnsi="Times New Roman"/>
          <w:b/>
          <w:caps w:val="false"/>
          <w:smallCaps w:val="false"/>
          <w:sz w:val="20"/>
        </w:rPr>
      </w:pPr>
      <w:bookmarkStart w:id="72" w:name="ex_970621.htm"/>
      <w:bookmarkStart w:id="73" w:name="ksex_970621"/>
      <w:bookmarkEnd w:id="72"/>
      <w:bookmarkEnd w:id="73"/>
      <w:r>
        <w:rPr>
          <w:rFonts w:ascii="Times New Roman" w:hAnsi="Times New Roman"/>
          <w:b/>
          <w:caps w:val="false"/>
          <w:smallCaps w:val="false"/>
          <w:sz w:val="20"/>
        </w:rPr>
        <w:t>Exhibit 5.1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drawing>
          <wp:inline distT="0" distB="0" distL="0" distR="0">
            <wp:extent cx="1857375" cy="8191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1857375" cy="819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Creative Realities, Inc.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13100 Magisterial Drive, Suite 201</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Louisville, KY 40223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acted as counsel for Creative Realities, Inc., a Minnesota corporation (the “</w:t>
      </w:r>
      <w:r>
        <w:rPr>
          <w:rFonts w:ascii="Times New Roman" w:hAnsi="Times New Roman"/>
          <w:i/>
          <w:caps w:val="false"/>
          <w:smallCaps w:val="false"/>
          <w:sz w:val="20"/>
        </w:rPr>
        <w:t>Company</w:t>
      </w:r>
      <w:r>
        <w:rPr>
          <w:rFonts w:ascii="Times New Roman" w:hAnsi="Times New Roman"/>
          <w:caps w:val="false"/>
          <w:smallCaps w:val="false"/>
          <w:sz w:val="20"/>
        </w:rPr>
        <w:t>”), in connection with the preparation and filing with the Securities and Exchange Commission (the “</w:t>
      </w:r>
      <w:r>
        <w:rPr>
          <w:rFonts w:ascii="Times New Roman" w:hAnsi="Times New Roman"/>
          <w:i/>
          <w:caps w:val="false"/>
          <w:smallCaps w:val="false"/>
          <w:sz w:val="20"/>
        </w:rPr>
        <w:t>Commission</w:t>
      </w:r>
      <w:r>
        <w:rPr>
          <w:rFonts w:ascii="Times New Roman" w:hAnsi="Times New Roman"/>
          <w:caps w:val="false"/>
          <w:smallCaps w:val="false"/>
          <w:sz w:val="20"/>
        </w:rPr>
        <w:t>”) of a Registration Statement on Form S-3, filed with the Commission on the date hereof (the “</w:t>
      </w:r>
      <w:r>
        <w:rPr>
          <w:rFonts w:ascii="Times New Roman" w:hAnsi="Times New Roman"/>
          <w:i/>
          <w:caps w:val="false"/>
          <w:smallCaps w:val="false"/>
          <w:sz w:val="20"/>
        </w:rPr>
        <w:t>Registration Statement</w:t>
      </w:r>
      <w:r>
        <w:rPr>
          <w:rFonts w:ascii="Times New Roman" w:hAnsi="Times New Roman"/>
          <w:caps w:val="false"/>
          <w:smallCaps w:val="false"/>
          <w:sz w:val="20"/>
        </w:rPr>
        <w:t>”), under the Securities Act of 1933, as amended (the “</w:t>
      </w:r>
      <w:r>
        <w:rPr>
          <w:rFonts w:ascii="Times New Roman" w:hAnsi="Times New Roman"/>
          <w:i/>
          <w:caps w:val="false"/>
          <w:smallCaps w:val="false"/>
          <w:sz w:val="20"/>
        </w:rPr>
        <w:t>Securities Act</w:t>
      </w:r>
      <w:r>
        <w:rPr>
          <w:rFonts w:ascii="Times New Roman" w:hAnsi="Times New Roman"/>
          <w:caps w:val="false"/>
          <w:smallCaps w:val="false"/>
          <w:sz w:val="20"/>
        </w:rPr>
        <w:t>”), relating to the registration under the Securities Act and the proposed issuance and sale from time to time pursuant to Rule 415 under the Securities Act of (i) shares of the Company’s common stock, par value $0.01 per share (the “</w:t>
      </w:r>
      <w:r>
        <w:rPr>
          <w:rFonts w:ascii="Times New Roman" w:hAnsi="Times New Roman"/>
          <w:i/>
          <w:caps w:val="false"/>
          <w:smallCaps w:val="false"/>
          <w:sz w:val="20"/>
        </w:rPr>
        <w:t>Common Stock</w:t>
      </w:r>
      <w:r>
        <w:rPr>
          <w:rFonts w:ascii="Times New Roman" w:hAnsi="Times New Roman"/>
          <w:caps w:val="false"/>
          <w:smallCaps w:val="false"/>
          <w:sz w:val="20"/>
        </w:rPr>
        <w:t>”); (ii) shares of the Company’s preferred stock, par value $0.01 per share (the “</w:t>
      </w:r>
      <w:r>
        <w:rPr>
          <w:rFonts w:ascii="Times New Roman" w:hAnsi="Times New Roman"/>
          <w:i/>
          <w:caps w:val="false"/>
          <w:smallCaps w:val="false"/>
          <w:sz w:val="20"/>
        </w:rPr>
        <w:t>Preferred Stock</w:t>
      </w:r>
      <w:r>
        <w:rPr>
          <w:rFonts w:ascii="Times New Roman" w:hAnsi="Times New Roman"/>
          <w:caps w:val="false"/>
          <w:smallCaps w:val="false"/>
          <w:sz w:val="20"/>
        </w:rPr>
        <w:t>”); (iii) one or more series of debt securities debt securities of the Company (the “</w:t>
      </w:r>
      <w:r>
        <w:rPr>
          <w:rFonts w:ascii="Times New Roman" w:hAnsi="Times New Roman"/>
          <w:i/>
          <w:caps w:val="false"/>
          <w:smallCaps w:val="false"/>
          <w:sz w:val="20"/>
        </w:rPr>
        <w:t>Debt Securities</w:t>
      </w:r>
      <w:r>
        <w:rPr>
          <w:rFonts w:ascii="Times New Roman" w:hAnsi="Times New Roman"/>
          <w:caps w:val="false"/>
          <w:smallCaps w:val="false"/>
          <w:sz w:val="20"/>
        </w:rPr>
        <w:t>”); and (iv) warrants to purchase Common Stock, Preferred Stock or Debt Securities (the “</w:t>
      </w:r>
      <w:r>
        <w:rPr>
          <w:rFonts w:ascii="Times New Roman" w:hAnsi="Times New Roman"/>
          <w:i/>
          <w:caps w:val="false"/>
          <w:smallCaps w:val="false"/>
          <w:sz w:val="20"/>
        </w:rPr>
        <w:t>Warrants</w:t>
      </w:r>
      <w:r>
        <w:rPr>
          <w:rFonts w:ascii="Times New Roman" w:hAnsi="Times New Roman"/>
          <w:caps w:val="false"/>
          <w:smallCaps w:val="false"/>
          <w:sz w:val="20"/>
        </w:rPr>
        <w:t>”). The Common Stock, the Preferred Stock, the Debt Securities and the Warrants are collectively referred to herein as the “</w:t>
      </w:r>
      <w:r>
        <w:rPr>
          <w:rFonts w:ascii="Times New Roman" w:hAnsi="Times New Roman"/>
          <w:caps w:val="false"/>
          <w:smallCaps w:val="false"/>
          <w:sz w:val="20"/>
          <w:u w:val="single"/>
        </w:rPr>
        <w:t>Securities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this opinion, we have examined originals or copies (certified or otherwise identified to our satisfaction) of such corporate records, certificates of government officials and of officers and representatives of the Company, agreements, instruments and such other documents as we have deemed necessary or appropriate for the purposes of this opinion, including: (i) a copy of the Company’s Articles of Incorporation, as amended and in effect as of the date hereof; (ii)  a copy of the Company’s bylaws, as amended and in effect as of the date hereof; and (iii) the Registration Statement. As to various questions of fact material to this opinion, we have relied upon representations of officers or directors of the Company and documents furnished to us by the Company without independent verification of their accuracy.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rendering this opinion, we have assumed the genuineness of all signatures on original documents; the authenticity of all documents submitted to us as originals; the conformity to authentic original documents of all documents submitted to us as copies; the accuracy, completeness and authenticity of certificates of public officials; and the due authorization, execution and delivery of all documents where authorization, execution and delivery are prerequisites to the effectiveness of such documents. We have also assumed that (i) the Registration Statement and any supplements and amendments thereto (including post-effective amendments) will have become effective and will comply with all applicable laws; (ii) the Registration Statement and any supplements and amendments thereto (including post-effective amendments) will be effective and will comply with all applicable laws and no stop order suspending the Registration Statement’s effectiveness will have been issued and remain in effect, in each case, at the time the Securities are offered or issued as contemplated by the Registration Statement; (iii) a prospectus supplement will have been prepared and filed with the Commission in compliance with all applicable laws describing the Securities offered thereby and will at all relevant times comply with all applicable laws; (iv) the Company has timely filed all necessary reports pursuant to the Securities Exchange Act of 1934, as amended, which are incorporated into the Registration Statement by reference; (v) all Securities will be issued and sold in compliance with all applicable federal and state securities laws and in the manner stated in the Registration Statement and the appropriate prospectus supplement; (vi) none of the terms of any of the Securities to be established subsequent to the date hereof, nor the issuance and delivery of such Securities, nor the compliance by the Company with the terms of such Securities will violate any applicable law or will result in a violation of any provision of any instrument or agreement then binding upon the Company or any restriction imposed by any court or governmental body having jurisdiction over the Company; (vii) a definitive purchase, underwriting, indenture, warrant, or similar agreement and any other necessary agreement with respect to any Securities offered or issued will have been duly authorized and validly executed and delivered by the Company and the other parties thereto; (viii) any warrant agreement, Warrant, note, indenture or Debt Security will be governed by the laws of the State of New York; (ix) any indenture will be duly qualified under the Trust Indenture Act of 1939, as amended; and (x) any Securities issuable upon conversion, exchange, or exercise of any Security being offered or issued will be duly authorized, created, and, if appropriate, reserved for issuance upon such conversion, exchange, or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Subject to the foregoing and the other matters set forth herein, it is our opinion that, as of the date 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the Debt Securities to be issued under an indenture, when (A) the board of directors of the Company, a duly constituted and acting committee thereof or any officers of the Company delegated such authority (such board of directors, committee or officers being hereinafter referred to as the “</w:t>
            </w:r>
            <w:r>
              <w:rPr>
                <w:rFonts w:ascii="Times New Roman;Times;serif" w:hAnsi="Times New Roman;Times;serif"/>
                <w:caps w:val="false"/>
                <w:smallCaps w:val="false"/>
                <w:sz w:val="20"/>
                <w:u w:val="single"/>
              </w:rPr>
              <w:t>Company Board</w:t>
            </w:r>
            <w:r>
              <w:rPr>
                <w:rFonts w:ascii="Times New Roman;Times;serif" w:hAnsi="Times New Roman;Times;serif"/>
                <w:caps w:val="false"/>
                <w:smallCaps w:val="false"/>
                <w:sz w:val="20"/>
              </w:rPr>
              <w:t>”) have taken all necessary corporate action to approve the applicable definitive purchase, underwriting or similar agreement and the issuance and terms of a particular series of Debt Securities, the terms of the offering thereof, and related matters, and (B) such Debt Securities have been duly executed, authenticated, issued and delivered in accordance with the provisions of an indenture, including any supplemental indenture related thereto, upon payment of the consideration therefor provided for therein, such Debt Securities will be validly issued and will constitute valid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the Common Stock, when (A) the Company Board has taken all necessary corporate action to approve the issuance and terms of the offering, and related matters, of the Common Stock in conformity with the Articles of Incorporation of the Company, as amended, and (B) certificates representing such Common Stock have been duly executed, countersigned, registered and delivered, assuming that at the times of such issuances the Company has a sufficient number of authorized and unissued shares of Common Stock available therefor, either (i) in accordance with the applicable definitive purchase, underwriting or similar agreement approved by the Company Board upon payment of the consideration therefor (which consideration is not less than the par value of the Common Stock) provided for therein or (ii) upon conversion, exchange or exercise of any other Security, in accordance with the terms of such Security or the instrument governing such Security providing for such conversion, exchange or exercise as approved by the Company Board, for the consideration approved by the Company Board (which consideration is not less than the par value of the Common Stock), then such Common Stock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the Preferred Stock, when (A) the Company Board has taken all necessary corporate action to approve the issuance and terms of a particular series of Preferred Stock, the terms of the offering thereof, and related matters in conformity with the Articles of Incorporation of the Company, as amended, including the adoption of a Certificate of Designation relating to such Preferred Stock and the filing of such Certificate of Designation with the Secretary of State of the State of Minnesota, (B) such Certificate of Designation has been properly filed with the Secretary of State of the State of Minnesota and (C) certificates representing such Preferred Stock have been duly executed, countersigned, registered and delivered, assuming that at the times of such issuances, the Company has a sufficient number of authorized and unissued shares of Preferred Stock available therefor, either (i) in accordance with the applicable definitive purchase, underwriting or similar agreement approved by the Company Board upon payment of the consideration therefor (which consideration is not less than the par value of the Preferred Stock) provided for therein or (ii) upon conversion, exchange or exercise of any other Security, in accordance with the terms of such Security or the instrument governing such Security providing for such conversion, exchange or exercise as approved by the Company Board, for the consideration approved by the Company Board (which consideration is not less than the par value of the Preferred Stock), then such Preferred Stock will be validly issued, fully paid and nonassessable;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8"/>
        <w:gridCol w:w="10017"/>
      </w:tblGrid>
      <w:tr>
        <w:trPr/>
        <w:tc>
          <w:tcPr>
            <w:tcW w:w="60"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1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with respect to the Warrants, when (A) the Company Board has taken all necessary corporate action to approve the creation of and the issuance and terms of the Warrants, the terms of the offering thereof and related matters, (B) a warrant agreement relating to the Warrants has been duly authorized and validly executed and delivered by the Company, the warrant agent appointed by the Company and each other party thereto, (C) if such Warrants are exercisable for Debt Securities, the actions described in paragraph 1 above have been taken, (D) if such Warrants are exercisable for shares of Common Stock, the actions described in paragraph 2 above have been taken, (E) if such Warrants are exercisable for shares of Preferred Stock, the actions described in paragraph 3 above have been taken, and (F) the Warrants or certificates representing the Warrants have been duly executed, countersigned, registered and delivered in accordance with the appropriate warrant agreement and the applicable definitive purchase, underwriting or similar agreement approved by the Company Board upon payment of the consideration therefor provided for therein, then the Warrants will be validly issued and will constitute valid and binding obligations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express no opinion herein as to any provision of any indenture, Debt Security or Warrant that (i) relates to the subject matter jurisdiction of any federal court of the United States of America, or any federal appellate court, to adjudicate any controversy related thereto, (ii) contains a waiver of an inconvenient forum, (iii) relates to the waiver of rights to jury trial or (iv) provides for indemnification, contribution or limitations on liability. We also express no opinion as to (x) the enforceability of the provisions of any indenture, Debt Security or Warrant to the extent that such provisions constitute a waiver of illegality as a defense to performance of contract obligations or any other defense to performance which cannot, as a matter of law, be effectively waived or (y) whether a state court outside the State of New York or a federal court of the United States would give effect to the choice of New York law provided for therein. Our opinions are subject to (i) the effect of any applicable bankruptcy, insolvency, reorganization, fraudulent conveyance, moratorium, or other similar laws affecting creditors’ rights generally from time to time in effect (ii) the effect of general principles of equity, including concepts of materiality, reasonableness, good faith and fair dealing, regardless of whether such enforceability is considered in a proceeding in equity or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express no opinion as to matters governed by any laws other than the laws of the State of New York, the Minnesota Business Corporation Act, and the federal laws of the United States of America. Without limiting the generality of the foregoing, we express no opinion with respect to the qualification of the Securities under the securities or blue sky laws of any state or any foreign jurisdiction. This opinion is rendered as of the date hereof. We assume no obligation to update this opinion to reflect any facts or circumstances that may hereafter come to our attention or changes in the law which may hereafter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aware that you wish to file this opinion with the Commission as an exhibit to the Registration Statement in accordance with the requirements of Item 601(b)(5) of Regulation S-K promulgated under the Securities Act and to reference our firm’s name under the caption “Legal Matters” in the prospectus which forms a part of the Registration Statement. We hereby consent to such use of our name therein and the filing of this opinion as Exhibit 5.1 to the Registration Statement. In giving this consent, we do not hereby admit that we are within the category of persons whose consent is required under Section 7 of the Securities Act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2810" w:type="dxa"/>
        <w:jc w:val="left"/>
        <w:tblInd w:w="0" w:type="dxa"/>
        <w:tblLayout w:type="fixed"/>
        <w:tblCellMar>
          <w:top w:w="0" w:type="dxa"/>
          <w:left w:w="0" w:type="dxa"/>
          <w:bottom w:w="0" w:type="dxa"/>
          <w:right w:w="0" w:type="dxa"/>
        </w:tblCellMar>
      </w:tblPr>
      <w:tblGrid>
        <w:gridCol w:w="60"/>
        <w:gridCol w:w="2750"/>
      </w:tblGrid>
      <w:tr>
        <w:trPr/>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Very truly yours,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Taft Stettinius &amp; Hollister LLP</w:t>
            </w:r>
          </w:p>
        </w:tc>
      </w:tr>
    </w:tbl>
    <w:p>
      <w:pPr>
        <w:pStyle w:val="TextBody"/>
        <w:bidi w:val="0"/>
        <w:spacing w:before="0" w:after="0"/>
        <w:ind w:left="504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74" w:name="ex_970620.htm"/>
      <w:bookmarkStart w:id="75" w:name="ksex_970620"/>
      <w:bookmarkEnd w:id="74"/>
      <w:bookmarkEnd w:id="75"/>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issued our report dated April 15, 2026 with respect to the consolidated financial statements of Creative Realities, Inc. included in the Annual Report on Form 10-K for the year ended December 31, 2025, which are incorporated by reference in this Registration Statement. We consent to the incorporation by reference of the aforementioned report in this Registration Statement, and to the use of our name as it appears under the caption “Experts.”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Grant Thornton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Cincinnati, Ohio</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4, 2026</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76" w:name="ex_970619.htm"/>
      <w:bookmarkStart w:id="77" w:name="ksex_970619"/>
      <w:bookmarkEnd w:id="76"/>
      <w:bookmarkEnd w:id="77"/>
      <w:r>
        <w:rPr>
          <w:rFonts w:ascii="Times New Roman" w:hAnsi="Times New Roman"/>
          <w:b/>
          <w:caps w:val="false"/>
          <w:smallCaps w:val="false"/>
          <w:sz w:val="20"/>
        </w:rPr>
        <w:t>Exhibit 23.2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AUDITOR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this Registration Statement on Form S-3 of Creative Realities, Inc. of our report dated October 8, 2025 relating to the financial statements of DDC Group International Inc. d/b/a Cineplex Digital Media, which is incorporated by reference in Amendment No. 1 to Current Report on Form 8-K/A of Creative Realities, Inc. dated December 19,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Chartered Professional Accountants, Licensed Public Accountants  </w:t>
        <w:br/>
        <w:t>Toronto, Canada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4, 2026</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8" w:name="ex_970618.htm"/>
      <w:bookmarkStart w:id="79" w:name="ksex_970618"/>
      <w:bookmarkStart w:id="80" w:name="ex_970618.htm"/>
      <w:bookmarkStart w:id="81" w:name="ksex_970618"/>
      <w:bookmarkEnd w:id="80"/>
      <w:bookmarkEnd w:id="81"/>
      <w:r>
        <w:br w:type="page"/>
      </w:r>
    </w:p>
    <w:tbl>
      <w:tblPr>
        <w:tblW w:w="3665" w:type="dxa"/>
        <w:jc w:val="left"/>
        <w:tblInd w:w="0" w:type="dxa"/>
        <w:tblLayout w:type="fixed"/>
        <w:tblCellMar>
          <w:top w:w="28" w:type="dxa"/>
          <w:left w:w="28" w:type="dxa"/>
          <w:bottom w:w="28" w:type="dxa"/>
          <w:right w:w="28" w:type="dxa"/>
        </w:tblCellMar>
      </w:tblPr>
      <w:tblGrid>
        <w:gridCol w:w="3511"/>
        <w:gridCol w:w="154"/>
      </w:tblGrid>
      <w:tr>
        <w:trPr/>
        <w:tc>
          <w:tcPr>
            <w:tcW w:w="366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51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511" w:type="dxa"/>
            <w:tcBorders/>
            <w:vAlign w:val="center"/>
          </w:tcPr>
          <w:p>
            <w:pPr>
              <w:pStyle w:val="TableContents"/>
              <w:bidi w:val="0"/>
              <w:spacing w:before="0" w:after="283"/>
              <w:jc w:val="left"/>
              <w:rPr>
                <w:b/>
              </w:rPr>
            </w:pPr>
            <w:r>
              <w:rPr>
                <w:b/>
              </w:rPr>
              <w:t xml:space="preserve">CREATIVE REALITIES,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$ 62,359,152.00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$ 8,611.80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stock, par value $0.01 per share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333-272202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Stock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333-272202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333-272202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333-272202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center"/>
              <w:rPr/>
            </w:pPr>
            <w:r>
              <w:rPr/>
              <w:t xml:space="preserve">2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415(a)(6)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$ 37,640,848.00 </w:t>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center"/>
              <w:rPr/>
            </w:pPr>
            <w:r>
              <w:rPr/>
              <w:t xml:space="preserve">S-3 </w:t>
            </w:r>
          </w:p>
        </w:tc>
        <w:tc>
          <w:tcPr>
            <w:tcW w:w="1021" w:type="dxa"/>
            <w:tcBorders/>
            <w:shd w:fill="E7E7E2" w:val="clear"/>
            <w:vAlign w:val="center"/>
          </w:tcPr>
          <w:p>
            <w:pPr>
              <w:pStyle w:val="TableContents"/>
              <w:bidi w:val="0"/>
              <w:spacing w:before="0" w:after="283"/>
              <w:jc w:val="center"/>
              <w:rPr/>
            </w:pPr>
            <w:r>
              <w:rPr/>
              <w:t xml:space="preserve">333-272202 </w:t>
            </w:r>
          </w:p>
        </w:tc>
        <w:tc>
          <w:tcPr>
            <w:tcW w:w="1021" w:type="dxa"/>
            <w:tcBorders/>
            <w:shd w:fill="E7E7E2" w:val="clear"/>
            <w:vAlign w:val="center"/>
          </w:tcPr>
          <w:p>
            <w:pPr>
              <w:pStyle w:val="TableContents"/>
              <w:bidi w:val="0"/>
              <w:spacing w:before="0" w:after="283"/>
              <w:jc w:val="center"/>
              <w:rPr/>
            </w:pPr>
            <w:r>
              <w:rPr/>
              <w:t xml:space="preserve">06/06/2023 </w:t>
            </w:r>
          </w:p>
        </w:tc>
        <w:tc>
          <w:tcPr>
            <w:tcW w:w="1321" w:type="dxa"/>
            <w:tcBorders/>
            <w:shd w:fill="E7E7E2" w:val="clear"/>
            <w:vAlign w:val="center"/>
          </w:tcPr>
          <w:p>
            <w:pPr>
              <w:pStyle w:val="TableContents"/>
              <w:bidi w:val="0"/>
              <w:spacing w:before="0" w:after="283"/>
              <w:jc w:val="right"/>
              <w:rPr/>
            </w:pPr>
            <w:r>
              <w:rPr/>
              <w:t xml:space="preserve">$ 4,885.78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82" w:name="MaxAggtOfferingPrice"/>
            <w:bookmarkEnd w:id="82"/>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83" w:name="TotalFeeAmt"/>
            <w:bookmarkEnd w:id="83"/>
            <w:r>
              <w:rPr/>
              <w:t xml:space="preserve">$ 8,611.80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4" w:name="TotalPreviouslyPaidAmt"/>
            <w:bookmarkEnd w:id="84"/>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5" w:name="TotalOffsetAmt"/>
            <w:bookmarkEnd w:id="8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6" w:name="NetFeeAmt"/>
            <w:bookmarkEnd w:id="86"/>
            <w:r>
              <w:rPr/>
              <w:t xml:space="preserve">$ 8,611.80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7"/>
        <w:gridCol w:w="1299"/>
        <w:gridCol w:w="8709"/>
      </w:tblGrid>
      <w:tr>
        <w:trPr/>
        <w:tc>
          <w:tcPr>
            <w:tcW w:w="197"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8" w:type="dxa"/>
            <w:gridSpan w:val="2"/>
            <w:tcBorders/>
            <w:vAlign w:val="center"/>
          </w:tcPr>
          <w:p>
            <w:pPr>
              <w:pStyle w:val="TableContents"/>
              <w:bidi w:val="0"/>
              <w:spacing w:before="0" w:after="283"/>
              <w:jc w:val="left"/>
              <w:rPr/>
            </w:pPr>
            <w:r>
              <w:rPr/>
              <w:t xml:space="preserve">(1) There are being registered hereunder an indeterminate number or amount, as the case may be, of common shares, preferred shares, warrants and debt securities, as may be offered by the registrant from time to time, which together shall have an aggregate initial offering price not to exceed $100,000,000. The securities included hereunder may be sold separately or as units with other securities registered hereunder. The securities included hereunder also include an indeterminate number of securities as may be issued upon conversion of or exchange for preferred shares or debt securities that provide for conversion or exchange, upon exercise of warrants, or pursuant to the anti-dilution provisions of any of such securities. In addition, pursuant to Rule 416 under the Securities Act of 1933, as amended (the "Securities Act"), this Registration Statement on Form S-3 (the "Registration Statement") also covers any additional securities that may be offered or issued in connection with any stock splits, reverse stock splits, stock dividends or similar transactions. (2) In accordance with Rule 415(a)(6) under the Securities Act, certain of the securities registered pursuant to this Registration Statement are unsold securities that previously were registered pursuant to the registration statement on Form S-3 (File No. 333-272202), initially effective on June 6, 2023 (the "Prior Registration Statement"). The Prior Registration Statement registered the offer and sale of an indeterminate number of common stock, preferred stock, debt securities and warrants with an aggregate offering price not to exceed $46,168,698, of which $37,640,848 of such securities that remain unsold as of the filing date of this Registration Statement are being included in this Registration Statement (the "Carry Forward Securities"). Pursuant to Rule 415(a)(6), the registration fees previously paid with respect to the Carry Forward Securities will continue to be applied to the Carry Forward Securities. To the extent that, after the filing date hereof and prior to the effectiveness of this Registration Statement, the registrant sells any of the Carry Forward Securities pursuant to the Prior Registration Statement, the registrant will identify in a pre-effective amendment to this Registration Statement the updated amount of such Carry Forward Securities from the Prior Registration Statement to be included in this Registration Statement pursuant to Rule 415(a)(6) and the amount of any new securities to be registered under this Registration Statement, such that the securities hereunder shall have an aggregate initial offering price not to exceed $100,000,000. Pursuant to Rule 415(a)(6) under the Securities Act, the offering of the Carry Forward Securities under the Prior Registration Statement will be deemed terminated as of the date of effectiveness of this Registration Statement. A filing fee of $8,611.80 with respect to the New Securities is being paid in connection with the filing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197"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8" w:type="dxa"/>
            <w:gridSpan w:val="2"/>
            <w:tcBorders/>
            <w:vAlign w:val="center"/>
          </w:tcPr>
          <w:p>
            <w:pPr>
              <w:pStyle w:val="TableContents"/>
              <w:bidi w:val="0"/>
              <w:spacing w:before="0" w:after="283"/>
              <w:jc w:val="left"/>
              <w:rPr/>
            </w:pPr>
            <w:r>
              <w:rPr/>
              <w:t xml:space="preserve">(1) There are being registered hereunder an indeterminate number or amount, as the case may be, of common shares, preferred shares, warrants and debt securities, as may be offered by the registrant from time to time, which together shall have an aggregate initial offering price not to exceed $100,000,000. The securities included hereunder may be sold separately or as units with other securities registered hereunder. The securities included hereunder also include an indeterminate number of securities as may be issued upon conversion of or exchange for preferred shares or debt securities that provide for conversion or exchange, upon exercise of warrants, or pursuant to the anti-dilution provisions of any of such securities. In addition, pursuant to Rule 416 under the Securities Act of 1933, as amended (the "Securities Act"), this Registration Statement on Form S-3 (the "Registration Statement") also covers any additional securities that may be offered or issued in connection with any stock splits, reverse stock splits, stock dividends or similar transactions. (2) In accordance with Rule 415(a)(6) under the Securities Act, certain of the securities registered pursuant to this Registration Statement are unsold securities that previously were registered pursuant to the registration statement on Form S-3 (File No. 333-272202), initially effective on June 6, 2023 (the "Prior Registration Statement"). The Prior Registration Statement registered the offer and sale of an indeterminate number of common stock, preferred stock, debt securities and warrants with an aggregate offering price not to exceed $46,168,698, of which $37,640,848 of such securities that remain unsold as of the filing date of this Registration Statement are being included in this Registration Statement (the "Carry Forward Securities"). Pursuant to Rule 415(a)(6), the registration fees previously paid with respect to the Carry Forward Securities will continue to be applied to the Carry Forward Securities. To the extent that, after the filing date hereof and prior to the effectiveness of this Registration Statement, the registrant sells any of the Carry Forward Securities pursuant to the Prior Registration Statement, the registrant will identify in a pre-effective amendment to this Registration Statement the updated amount of such Carry Forward Securities from the Prior Registration Statement to be included in this Registration Statement pursuant to Rule 415(a)(6) and the amount of any new securities to be registered under this Registration Statement, such that the securities hereunder shall have an aggregate initial offering price not to exceed $100,000,000. Pursuant to Rule 415(a)(6) under the Securities Act, the offering of the Carry Forward Securities under the Prior Registration Statement will be deemed terminated as of the date of effectiveness of this Registration Statement. A filing fee of $8,611.80 with respect to the New Securities is being paid in connection with the filing of this Registration Statement. (3) Reflects the registration fee previously paid in connection with unsold securities pursuant to Rule 415(a)(6) under the Securities Act of 1933, as amended.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356093/000143774926012302/crex20251231c_10k.htm" TargetMode="External"/><Relationship Id="rId4" Type="http://schemas.openxmlformats.org/officeDocument/2006/relationships/hyperlink" Target="http://www.sec.gov/Archives/edgar/data/1356093/000143774926017219/crex20260331c_10q.htm" TargetMode="External"/><Relationship Id="rId5" Type="http://schemas.openxmlformats.org/officeDocument/2006/relationships/hyperlink" Target="http://www.sec.gov/Archives/edgar/data/1356093/000143774926000084/crex20260102_8k.htm" TargetMode="External"/><Relationship Id="rId6" Type="http://schemas.openxmlformats.org/officeDocument/2006/relationships/hyperlink" Target="http://www.sec.gov/Archives/edgar/data/1356093/000143774926004453/crex20260218_8k.htm" TargetMode="External"/><Relationship Id="rId7" Type="http://schemas.openxmlformats.org/officeDocument/2006/relationships/hyperlink" Target="http://www.sec.gov/Archives/edgar/data/1356093/000121390018015796/f8a12b111418_creativereal.htm" TargetMode="External"/><Relationship Id="rId8" Type="http://schemas.openxmlformats.org/officeDocument/2006/relationships/hyperlink" Target="http://www.sec.gov/Archives/edgar/data/1356093/000143774924008777/ex_636997.htm" TargetMode="External"/><Relationship Id="rId9" Type="http://schemas.openxmlformats.org/officeDocument/2006/relationships/image" Target="media/image1.jpeg"/><Relationship Id="rId10" Type="http://schemas.openxmlformats.org/officeDocument/2006/relationships/hyperlink" Target="http://www.sec.gov/Archives/edgar/data/1356093/000143774924008777/ex_636996.htm" TargetMode="External"/><Relationship Id="rId11" Type="http://schemas.openxmlformats.org/officeDocument/2006/relationships/hyperlink" Target="http://www.sec.gov/Archives/edgar/data/1356093/000143774925034248/ex_885596.htm" TargetMode="External"/><Relationship Id="rId12" Type="http://schemas.openxmlformats.org/officeDocument/2006/relationships/hyperlink" Target="http://www.sec.gov/Archives/edgar/data/1356093/000095012311094400/c24019exv3.htm" TargetMode="External"/><Relationship Id="rId13" Type="http://schemas.openxmlformats.org/officeDocument/2006/relationships/hyperlink" Target="http://www.sec.gov/Archives/edgar/data/1356093/000095013406016951/c04558sbexv4w2.htm" TargetMode="External"/><Relationship Id="rId14" Type="http://schemas.openxmlformats.org/officeDocument/2006/relationships/hyperlink" Target="http://www.sec.gov/Archives/edgar/data/1356093/000143774924008777/ex_636997.htm" TargetMode="External"/><Relationship Id="rId15" Type="http://schemas.openxmlformats.org/officeDocument/2006/relationships/hyperlink" Target="http://www.sec.gov/Archives/edgar/data/1356093/000143774925038353/ex_898703.htm" TargetMode="External"/><Relationship Id="rId16" Type="http://schemas.openxmlformats.org/officeDocument/2006/relationships/hyperlink" Target="http://www.sec.gov/Archives/edgar/data/1356093/000143774925038353/ex_898702.htm" TargetMode="External"/><Relationship Id="rId17" Type="http://schemas.openxmlformats.org/officeDocument/2006/relationships/hyperlink" Target="http://www.sec.gov/Archives/edgar/data/1356093/000143774925038353/ex_900356.htm" TargetMode="External"/><Relationship Id="rId18" Type="http://schemas.openxmlformats.org/officeDocument/2006/relationships/image" Target="media/image2.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45754</Words>
  <Characters>237151</Characters>
  <CharactersWithSpaces>283605</CharactersWithSpaces>
  <Paragraphs>3831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